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5E6" w:rsidRDefault="00BD45E6" w:rsidP="00BD45E6">
      <w:pPr>
        <w:pStyle w:val="Default"/>
      </w:pPr>
    </w:p>
    <w:p w:rsidR="00BD45E6" w:rsidRDefault="00BD45E6" w:rsidP="00BD45E6">
      <w:pPr>
        <w:pStyle w:val="Default"/>
        <w:jc w:val="center"/>
      </w:pPr>
      <w:r>
        <w:rPr>
          <w:b/>
          <w:bCs/>
          <w:sz w:val="23"/>
          <w:szCs w:val="23"/>
        </w:rPr>
        <w:t>Формирование мотивации к обучению как один из путей выхода из числа школ с низкими образовательными результатами</w:t>
      </w:r>
    </w:p>
    <w:p w:rsidR="00BD45E6" w:rsidRPr="00BD45E6" w:rsidRDefault="00BD45E6" w:rsidP="00BD45E6">
      <w:pPr>
        <w:pStyle w:val="Default"/>
        <w:jc w:val="center"/>
        <w:rPr>
          <w:b/>
        </w:rPr>
      </w:pPr>
      <w:r w:rsidRPr="00BD45E6">
        <w:rPr>
          <w:b/>
        </w:rPr>
        <w:t>МБОУ «Еланская СОШ»</w:t>
      </w:r>
    </w:p>
    <w:p w:rsidR="0043490D" w:rsidRPr="00062B84" w:rsidRDefault="003174EC" w:rsidP="00062B84">
      <w:pPr>
        <w:pStyle w:val="Default"/>
        <w:ind w:firstLine="708"/>
        <w:jc w:val="both"/>
      </w:pPr>
      <w:r>
        <w:t xml:space="preserve"> </w:t>
      </w:r>
      <w:r w:rsidRPr="00062B84">
        <w:t>МБОУ «Еланская СОШ» является сельской школой, находящейся в поселке с населением в количестве около 300 человек. Село расположено в отдаленности от райцентра на 30 км. В школе обучаются 51 детей, 1 из них ребенок надомного обучения, 2 ребенка с адаптированной программой</w:t>
      </w:r>
      <w:r w:rsidR="00675B29" w:rsidRPr="00062B84">
        <w:t xml:space="preserve"> и 4 ребенка из у. Хаян, подвоз организован школьным автобусом</w:t>
      </w:r>
      <w:r w:rsidRPr="00062B84">
        <w:t>. Большинство семей являются малообеспеченными и/или многодетными, с низким образовательным уровнем родителей</w:t>
      </w:r>
      <w:r w:rsidR="0043490D" w:rsidRPr="00062B84">
        <w:t>, с низким воспитательным потенциалом</w:t>
      </w:r>
      <w:r w:rsidRPr="00062B84">
        <w:t xml:space="preserve">. Обучающихся, состоящих на учете в КДН, нет. Выпускники школы в своем большинстве поступают в ССУЗ-ы в своем регионе, выпускники 11 класса 60-70% поступают в ВУЗы как своего региона, так и других регионов. Общая численность педагогов в школе 11 человек, в том числе директор и два его заместителя. С первой квалификационной категорией педагогов – 55%. Средний возраст педагогического коллектива – </w:t>
      </w:r>
      <w:r w:rsidR="0043490D" w:rsidRPr="00062B84">
        <w:t>50</w:t>
      </w:r>
      <w:r w:rsidRPr="00062B84">
        <w:t xml:space="preserve"> лет, средний педагогический стаж – </w:t>
      </w:r>
      <w:r w:rsidR="0043490D" w:rsidRPr="00062B84">
        <w:t>26 лет</w:t>
      </w:r>
      <w:r w:rsidRPr="00062B84">
        <w:t>.</w:t>
      </w:r>
    </w:p>
    <w:p w:rsidR="0043490D" w:rsidRPr="00062B84" w:rsidRDefault="0043490D" w:rsidP="00BD45E6">
      <w:pPr>
        <w:pStyle w:val="Default"/>
        <w:ind w:firstLine="708"/>
        <w:jc w:val="both"/>
      </w:pPr>
      <w:r w:rsidRPr="00062B84">
        <w:t>Данные характеристики оказали негативное влияние на качество образовательных результатов и являлись симптомами рисков из рискового профиля школы, полученного в 2020 году при попадании в перечень школ с низкими образовательными результатами.</w:t>
      </w:r>
    </w:p>
    <w:p w:rsidR="00675B29" w:rsidRPr="00062B84" w:rsidRDefault="0043490D" w:rsidP="00BD45E6">
      <w:pPr>
        <w:shd w:val="clear" w:color="auto" w:fill="FFFFFF"/>
        <w:spacing w:after="22" w:line="240" w:lineRule="auto"/>
        <w:ind w:firstLine="708"/>
        <w:jc w:val="both"/>
        <w:rPr>
          <w:rFonts w:ascii="Times New Roman" w:eastAsia="Times New Roman" w:hAnsi="Times New Roman" w:cs="Times New Roman"/>
          <w:color w:val="000000"/>
          <w:sz w:val="24"/>
          <w:szCs w:val="24"/>
          <w:lang w:eastAsia="ru-RU"/>
        </w:rPr>
      </w:pPr>
      <w:r w:rsidRPr="00062B84">
        <w:rPr>
          <w:rFonts w:ascii="Times New Roman" w:hAnsi="Times New Roman" w:cs="Times New Roman"/>
          <w:sz w:val="24"/>
          <w:szCs w:val="24"/>
        </w:rPr>
        <w:t xml:space="preserve"> </w:t>
      </w:r>
      <w:r w:rsidR="00675B29" w:rsidRPr="00062B84">
        <w:rPr>
          <w:rFonts w:ascii="Times New Roman" w:eastAsia="Times New Roman" w:hAnsi="Times New Roman" w:cs="Times New Roman"/>
          <w:color w:val="000000"/>
          <w:sz w:val="24"/>
          <w:szCs w:val="24"/>
          <w:lang w:eastAsia="ru-RU"/>
        </w:rPr>
        <w:t xml:space="preserve">Согласно диагностики факторов риска и тестирования, проведенного ФИС ОКО в рамках проекта «500+» определены два направления, значимость которых для развития школы имеет высокое значение, и существенным образом влияет на качество образования в </w:t>
      </w:r>
      <w:r w:rsidR="00062B84" w:rsidRPr="00062B84">
        <w:rPr>
          <w:rFonts w:ascii="Times New Roman" w:eastAsia="Times New Roman" w:hAnsi="Times New Roman" w:cs="Times New Roman"/>
          <w:color w:val="000000"/>
          <w:sz w:val="24"/>
          <w:szCs w:val="24"/>
          <w:lang w:eastAsia="ru-RU"/>
        </w:rPr>
        <w:t>школе: «</w:t>
      </w:r>
      <w:r w:rsidR="00675B29" w:rsidRPr="00062B84">
        <w:rPr>
          <w:rFonts w:ascii="Times New Roman" w:eastAsia="Times New Roman" w:hAnsi="Times New Roman" w:cs="Times New Roman"/>
          <w:color w:val="000000"/>
          <w:sz w:val="24"/>
          <w:szCs w:val="24"/>
          <w:lang w:eastAsia="ru-RU"/>
        </w:rPr>
        <w:t xml:space="preserve">низкий уровень оснащения школы» и «высокая доля обучающихся с рисками учебной </w:t>
      </w:r>
      <w:proofErr w:type="spellStart"/>
      <w:r w:rsidR="00675B29" w:rsidRPr="00062B84">
        <w:rPr>
          <w:rFonts w:ascii="Times New Roman" w:eastAsia="Times New Roman" w:hAnsi="Times New Roman" w:cs="Times New Roman"/>
          <w:color w:val="000000"/>
          <w:sz w:val="24"/>
          <w:szCs w:val="24"/>
          <w:lang w:eastAsia="ru-RU"/>
        </w:rPr>
        <w:t>неуспешности</w:t>
      </w:r>
      <w:proofErr w:type="spellEnd"/>
      <w:r w:rsidR="00675B29" w:rsidRPr="00062B84">
        <w:rPr>
          <w:rFonts w:ascii="Times New Roman" w:eastAsia="Times New Roman" w:hAnsi="Times New Roman" w:cs="Times New Roman"/>
          <w:color w:val="000000"/>
          <w:sz w:val="24"/>
          <w:szCs w:val="24"/>
          <w:lang w:eastAsia="ru-RU"/>
        </w:rPr>
        <w:t xml:space="preserve">». </w:t>
      </w:r>
    </w:p>
    <w:p w:rsidR="00083034" w:rsidRPr="00062B84" w:rsidRDefault="003174EC" w:rsidP="00BD45E6">
      <w:pPr>
        <w:pStyle w:val="Default"/>
        <w:jc w:val="both"/>
        <w:rPr>
          <w:rFonts w:eastAsia="Times New Roman"/>
          <w:lang w:eastAsia="ru-RU"/>
        </w:rPr>
      </w:pPr>
      <w:r w:rsidRPr="00062B84">
        <w:t xml:space="preserve"> </w:t>
      </w:r>
      <w:r w:rsidR="00083034" w:rsidRPr="00062B84">
        <w:rPr>
          <w:rFonts w:eastAsia="Times New Roman"/>
          <w:lang w:eastAsia="ru-RU"/>
        </w:rPr>
        <w:t>Для повышения образовательных результатов школой поставлена цель:</w:t>
      </w:r>
      <w:r w:rsidR="00083034" w:rsidRPr="00062B84">
        <w:rPr>
          <w:rFonts w:eastAsia="Times New Roman"/>
          <w:i/>
          <w:iCs/>
          <w:lang w:eastAsia="ru-RU"/>
        </w:rPr>
        <w:t> </w:t>
      </w:r>
    </w:p>
    <w:p w:rsidR="00083034" w:rsidRPr="00062B84" w:rsidRDefault="00083034" w:rsidP="00062B84">
      <w:pPr>
        <w:shd w:val="clear" w:color="auto" w:fill="FFFFFF"/>
        <w:spacing w:after="27" w:line="221" w:lineRule="atLeast"/>
        <w:ind w:left="360" w:right="-13"/>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1.  </w:t>
      </w:r>
      <w:r w:rsidRPr="00062B84">
        <w:rPr>
          <w:rFonts w:ascii="Times New Roman" w:eastAsia="Times New Roman" w:hAnsi="Times New Roman" w:cs="Times New Roman"/>
          <w:iCs/>
          <w:color w:val="000000"/>
          <w:sz w:val="24"/>
          <w:szCs w:val="24"/>
          <w:lang w:eastAsia="ru-RU"/>
        </w:rPr>
        <w:t xml:space="preserve">создание условий, обеспечивающих эффективную комфортную образовательную среду путем совершенствования материально-технического </w:t>
      </w:r>
      <w:r w:rsidR="00062B84" w:rsidRPr="00062B84">
        <w:rPr>
          <w:rFonts w:ascii="Times New Roman" w:eastAsia="Times New Roman" w:hAnsi="Times New Roman" w:cs="Times New Roman"/>
          <w:iCs/>
          <w:color w:val="000000"/>
          <w:sz w:val="24"/>
          <w:szCs w:val="24"/>
          <w:lang w:eastAsia="ru-RU"/>
        </w:rPr>
        <w:t>обеспечения, обновления</w:t>
      </w:r>
      <w:r w:rsidRPr="00062B84">
        <w:rPr>
          <w:rFonts w:ascii="Times New Roman" w:eastAsia="Times New Roman" w:hAnsi="Times New Roman" w:cs="Times New Roman"/>
          <w:iCs/>
          <w:color w:val="000000"/>
          <w:sz w:val="24"/>
          <w:szCs w:val="24"/>
          <w:lang w:eastAsia="ru-RU"/>
        </w:rPr>
        <w:t xml:space="preserve"> оборудования кабинета информатики, расширения возможностей доступа участников образовательных отношений к современным средствам обучения и образовательным ресурсам;</w:t>
      </w:r>
    </w:p>
    <w:p w:rsidR="00083034" w:rsidRPr="00062B84" w:rsidRDefault="00083034" w:rsidP="00062B84">
      <w:pPr>
        <w:shd w:val="clear" w:color="auto" w:fill="FFFFFF"/>
        <w:spacing w:after="0" w:line="221" w:lineRule="atLeast"/>
        <w:ind w:left="360" w:right="-13"/>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2.  </w:t>
      </w:r>
      <w:r w:rsidRPr="00062B84">
        <w:rPr>
          <w:rFonts w:ascii="Times New Roman" w:eastAsia="Times New Roman" w:hAnsi="Times New Roman" w:cs="Times New Roman"/>
          <w:iCs/>
          <w:color w:val="000000"/>
          <w:sz w:val="24"/>
          <w:szCs w:val="24"/>
          <w:lang w:eastAsia="ru-RU"/>
        </w:rPr>
        <w:t xml:space="preserve">понижение доли обучающихся 4-8 классов, </w:t>
      </w:r>
      <w:r w:rsidR="00062B84" w:rsidRPr="00062B84">
        <w:rPr>
          <w:rFonts w:ascii="Times New Roman" w:eastAsia="Times New Roman" w:hAnsi="Times New Roman" w:cs="Times New Roman"/>
          <w:iCs/>
          <w:color w:val="000000"/>
          <w:sz w:val="24"/>
          <w:szCs w:val="24"/>
          <w:lang w:eastAsia="ru-RU"/>
        </w:rPr>
        <w:t>имеющих риски</w:t>
      </w:r>
      <w:r w:rsidRPr="00062B84">
        <w:rPr>
          <w:rFonts w:ascii="Times New Roman" w:eastAsia="Times New Roman" w:hAnsi="Times New Roman" w:cs="Times New Roman"/>
          <w:iCs/>
          <w:color w:val="000000"/>
          <w:sz w:val="24"/>
          <w:szCs w:val="24"/>
          <w:lang w:eastAsia="ru-RU"/>
        </w:rPr>
        <w:t xml:space="preserve"> учебной </w:t>
      </w:r>
      <w:proofErr w:type="spellStart"/>
      <w:r w:rsidR="00062B84" w:rsidRPr="00062B84">
        <w:rPr>
          <w:rFonts w:ascii="Times New Roman" w:eastAsia="Times New Roman" w:hAnsi="Times New Roman" w:cs="Times New Roman"/>
          <w:iCs/>
          <w:color w:val="000000"/>
          <w:sz w:val="24"/>
          <w:szCs w:val="24"/>
          <w:lang w:eastAsia="ru-RU"/>
        </w:rPr>
        <w:t>неуспешности</w:t>
      </w:r>
      <w:proofErr w:type="spellEnd"/>
      <w:r w:rsidR="00062B84" w:rsidRPr="00062B84">
        <w:rPr>
          <w:rFonts w:ascii="Times New Roman" w:eastAsia="Times New Roman" w:hAnsi="Times New Roman" w:cs="Times New Roman"/>
          <w:iCs/>
          <w:color w:val="000000"/>
          <w:sz w:val="24"/>
          <w:szCs w:val="24"/>
          <w:lang w:eastAsia="ru-RU"/>
        </w:rPr>
        <w:t> за</w:t>
      </w:r>
      <w:r w:rsidRPr="00062B84">
        <w:rPr>
          <w:rFonts w:ascii="Times New Roman" w:eastAsia="Times New Roman" w:hAnsi="Times New Roman" w:cs="Times New Roman"/>
          <w:iCs/>
          <w:color w:val="000000"/>
          <w:sz w:val="24"/>
          <w:szCs w:val="24"/>
          <w:lang w:eastAsia="ru-RU"/>
        </w:rPr>
        <w:t xml:space="preserve"> </w:t>
      </w:r>
      <w:r w:rsidR="00062B84" w:rsidRPr="00062B84">
        <w:rPr>
          <w:rFonts w:ascii="Times New Roman" w:eastAsia="Times New Roman" w:hAnsi="Times New Roman" w:cs="Times New Roman"/>
          <w:iCs/>
          <w:color w:val="000000"/>
          <w:sz w:val="24"/>
          <w:szCs w:val="24"/>
          <w:lang w:eastAsia="ru-RU"/>
        </w:rPr>
        <w:t>счет создания</w:t>
      </w:r>
      <w:r w:rsidRPr="00062B84">
        <w:rPr>
          <w:rFonts w:ascii="Times New Roman" w:eastAsia="Times New Roman" w:hAnsi="Times New Roman" w:cs="Times New Roman"/>
          <w:iCs/>
          <w:color w:val="000000"/>
          <w:sz w:val="24"/>
          <w:szCs w:val="24"/>
          <w:lang w:eastAsia="ru-RU"/>
        </w:rPr>
        <w:t xml:space="preserve"> условий для эффективного обучения, с учетом </w:t>
      </w:r>
      <w:r w:rsidR="00062B84" w:rsidRPr="00062B84">
        <w:rPr>
          <w:rFonts w:ascii="Times New Roman" w:eastAsia="Times New Roman" w:hAnsi="Times New Roman" w:cs="Times New Roman"/>
          <w:iCs/>
          <w:color w:val="000000"/>
          <w:sz w:val="24"/>
          <w:szCs w:val="24"/>
          <w:lang w:eastAsia="ru-RU"/>
        </w:rPr>
        <w:t>их индивидуальных</w:t>
      </w:r>
      <w:r w:rsidRPr="00062B84">
        <w:rPr>
          <w:rFonts w:ascii="Times New Roman" w:eastAsia="Times New Roman" w:hAnsi="Times New Roman" w:cs="Times New Roman"/>
          <w:iCs/>
          <w:color w:val="000000"/>
          <w:sz w:val="24"/>
          <w:szCs w:val="24"/>
          <w:lang w:eastAsia="ru-RU"/>
        </w:rPr>
        <w:t xml:space="preserve"> и личностных особенностей, повышения профессиональной компетенции педагогических кадров, активизации работы по взаимодействию и сотрудничеству с родительской общественностью. </w:t>
      </w:r>
    </w:p>
    <w:p w:rsidR="005E2163" w:rsidRPr="00062B84" w:rsidRDefault="00083034" w:rsidP="00BD45E6">
      <w:pPr>
        <w:shd w:val="clear" w:color="auto" w:fill="FFFFFF"/>
        <w:spacing w:after="22" w:line="240" w:lineRule="auto"/>
        <w:ind w:firstLine="360"/>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 xml:space="preserve">При серьёзном анализе работы учреждения стала необходимой разработка программы перехода образовательной организации в эффективный режим работы. Низкие результаты ВПР 2019, 2020 </w:t>
      </w:r>
      <w:proofErr w:type="spellStart"/>
      <w:r w:rsidRPr="00062B84">
        <w:rPr>
          <w:rFonts w:ascii="Times New Roman" w:eastAsia="Times New Roman" w:hAnsi="Times New Roman" w:cs="Times New Roman"/>
          <w:color w:val="000000"/>
          <w:sz w:val="24"/>
          <w:szCs w:val="24"/>
          <w:lang w:eastAsia="ru-RU"/>
        </w:rPr>
        <w:t>г.г</w:t>
      </w:r>
      <w:proofErr w:type="spellEnd"/>
      <w:r w:rsidRPr="00062B84">
        <w:rPr>
          <w:rFonts w:ascii="Times New Roman" w:eastAsia="Times New Roman" w:hAnsi="Times New Roman" w:cs="Times New Roman"/>
          <w:color w:val="000000"/>
          <w:sz w:val="24"/>
          <w:szCs w:val="24"/>
          <w:lang w:eastAsia="ru-RU"/>
        </w:rPr>
        <w:t xml:space="preserve">. по математике, биологии, </w:t>
      </w:r>
      <w:r w:rsidR="00600C73" w:rsidRPr="00062B84">
        <w:rPr>
          <w:rFonts w:ascii="Times New Roman" w:eastAsia="Times New Roman" w:hAnsi="Times New Roman" w:cs="Times New Roman"/>
          <w:color w:val="000000"/>
          <w:sz w:val="24"/>
          <w:szCs w:val="24"/>
          <w:lang w:eastAsia="ru-RU"/>
        </w:rPr>
        <w:t>русскому языку</w:t>
      </w:r>
      <w:r w:rsidRPr="00062B84">
        <w:rPr>
          <w:rFonts w:ascii="Times New Roman" w:eastAsia="Times New Roman" w:hAnsi="Times New Roman" w:cs="Times New Roman"/>
          <w:color w:val="000000"/>
          <w:sz w:val="24"/>
          <w:szCs w:val="24"/>
          <w:lang w:eastAsia="ru-RU"/>
        </w:rPr>
        <w:t xml:space="preserve"> дали </w:t>
      </w:r>
      <w:r w:rsidR="00BD45E6" w:rsidRPr="00062B84">
        <w:rPr>
          <w:rFonts w:ascii="Times New Roman" w:eastAsia="Times New Roman" w:hAnsi="Times New Roman" w:cs="Times New Roman"/>
          <w:color w:val="000000"/>
          <w:sz w:val="24"/>
          <w:szCs w:val="24"/>
          <w:lang w:eastAsia="ru-RU"/>
        </w:rPr>
        <w:t>толчок для</w:t>
      </w:r>
      <w:r w:rsidRPr="00062B84">
        <w:rPr>
          <w:rFonts w:ascii="Times New Roman" w:eastAsia="Times New Roman" w:hAnsi="Times New Roman" w:cs="Times New Roman"/>
          <w:color w:val="000000"/>
          <w:sz w:val="24"/>
          <w:szCs w:val="24"/>
          <w:lang w:eastAsia="ru-RU"/>
        </w:rPr>
        <w:t xml:space="preserve"> выявления    проблем качественного образования в школе. Ресурсные дефициты оснащения учебных кабинетов, школьной библиотеки, недостаточный доступ педагогов и учащихся к электронным образовательным ресурсам во время подготовки и проведения образовательной деятельности стали </w:t>
      </w:r>
      <w:r w:rsidR="00BD45E6" w:rsidRPr="00062B84">
        <w:rPr>
          <w:rFonts w:ascii="Times New Roman" w:eastAsia="Times New Roman" w:hAnsi="Times New Roman" w:cs="Times New Roman"/>
          <w:color w:val="000000"/>
          <w:sz w:val="24"/>
          <w:szCs w:val="24"/>
          <w:lang w:eastAsia="ru-RU"/>
        </w:rPr>
        <w:t>одной из</w:t>
      </w:r>
      <w:r w:rsidRPr="00062B84">
        <w:rPr>
          <w:rFonts w:ascii="Times New Roman" w:eastAsia="Times New Roman" w:hAnsi="Times New Roman" w:cs="Times New Roman"/>
          <w:color w:val="000000"/>
          <w:sz w:val="24"/>
          <w:szCs w:val="24"/>
          <w:lang w:eastAsia="ru-RU"/>
        </w:rPr>
        <w:t xml:space="preserve"> важных проблем, требующих решения.</w:t>
      </w:r>
    </w:p>
    <w:p w:rsidR="00C757D3" w:rsidRPr="00062B84" w:rsidRDefault="00C757D3" w:rsidP="00062B84">
      <w:pPr>
        <w:shd w:val="clear" w:color="auto" w:fill="FFFFFF"/>
        <w:spacing w:after="22" w:line="240" w:lineRule="auto"/>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 xml:space="preserve">Современные технические средства выступают как новые орудия труда учителя, повышая культуру его работы, делают структуру занятия более насыщенной и глубокой, определённым образом влияют на продуктивность урока, повышают уровень мотивации учащихся к получению качественных знаний. Поэтому и ярко проявилась необходимость создания и развития единой информационной среды в </w:t>
      </w:r>
      <w:r w:rsidR="00600C73" w:rsidRPr="00062B84">
        <w:rPr>
          <w:rFonts w:ascii="Times New Roman" w:eastAsia="Times New Roman" w:hAnsi="Times New Roman" w:cs="Times New Roman"/>
          <w:color w:val="000000"/>
          <w:sz w:val="24"/>
          <w:szCs w:val="24"/>
          <w:lang w:eastAsia="ru-RU"/>
        </w:rPr>
        <w:t>школе, а</w:t>
      </w:r>
      <w:r w:rsidRPr="00062B84">
        <w:rPr>
          <w:rFonts w:ascii="Times New Roman" w:eastAsia="Times New Roman" w:hAnsi="Times New Roman" w:cs="Times New Roman"/>
          <w:color w:val="000000"/>
          <w:sz w:val="24"/>
          <w:szCs w:val="24"/>
          <w:lang w:eastAsia="ru-RU"/>
        </w:rPr>
        <w:t xml:space="preserve"> также эффективное </w:t>
      </w:r>
      <w:r w:rsidR="00600C73" w:rsidRPr="00062B84">
        <w:rPr>
          <w:rFonts w:ascii="Times New Roman" w:eastAsia="Times New Roman" w:hAnsi="Times New Roman" w:cs="Times New Roman"/>
          <w:color w:val="000000"/>
          <w:sz w:val="24"/>
          <w:szCs w:val="24"/>
          <w:lang w:eastAsia="ru-RU"/>
        </w:rPr>
        <w:t>использование имеющихся у школы.</w:t>
      </w:r>
    </w:p>
    <w:p w:rsidR="00C757D3" w:rsidRPr="00062B84" w:rsidRDefault="00C757D3" w:rsidP="00BD45E6">
      <w:pPr>
        <w:shd w:val="clear" w:color="auto" w:fill="FFFFFF"/>
        <w:spacing w:after="22" w:line="240" w:lineRule="auto"/>
        <w:ind w:firstLine="708"/>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 xml:space="preserve">В </w:t>
      </w:r>
      <w:r w:rsidR="00BD45E6" w:rsidRPr="00062B84">
        <w:rPr>
          <w:rFonts w:ascii="Times New Roman" w:eastAsia="Times New Roman" w:hAnsi="Times New Roman" w:cs="Times New Roman"/>
          <w:color w:val="000000"/>
          <w:sz w:val="24"/>
          <w:szCs w:val="24"/>
          <w:lang w:eastAsia="ru-RU"/>
        </w:rPr>
        <w:t>школе обучаются</w:t>
      </w:r>
      <w:r w:rsidRPr="00062B84">
        <w:rPr>
          <w:rFonts w:ascii="Times New Roman" w:eastAsia="Times New Roman" w:hAnsi="Times New Roman" w:cs="Times New Roman"/>
          <w:color w:val="000000"/>
          <w:sz w:val="24"/>
          <w:szCs w:val="24"/>
          <w:lang w:eastAsia="ru-RU"/>
        </w:rPr>
        <w:t xml:space="preserve"> дети разных способностей. Социальный паспорт школы фиксирует особенности семей нашей образовательной организации: большинство родителей не имеют высшего образования, характеризуются средним достатком и сложными социальными условиями жизни. Большую часть времени дети предоставлены самим себе и не всегда могут своевременно опереться на мудрый совет взрослого. К сожалению, надо отметить, </w:t>
      </w:r>
      <w:r w:rsidR="00BD45E6" w:rsidRPr="00062B84">
        <w:rPr>
          <w:rFonts w:ascii="Times New Roman" w:eastAsia="Times New Roman" w:hAnsi="Times New Roman" w:cs="Times New Roman"/>
          <w:color w:val="000000"/>
          <w:sz w:val="24"/>
          <w:szCs w:val="24"/>
          <w:lang w:eastAsia="ru-RU"/>
        </w:rPr>
        <w:t>что для</w:t>
      </w:r>
      <w:r w:rsidRPr="00062B84">
        <w:rPr>
          <w:rFonts w:ascii="Times New Roman" w:eastAsia="Times New Roman" w:hAnsi="Times New Roman" w:cs="Times New Roman"/>
          <w:color w:val="000000"/>
          <w:sz w:val="24"/>
          <w:szCs w:val="24"/>
          <w:lang w:eastAsia="ru-RU"/>
        </w:rPr>
        <w:t xml:space="preserve"> большинства семей, проживающих в микрорайоне школы, проблема «включенности» родителей в образовательный процесс остаётся открытой. У многих детей нет нужной психологической модели поведения. Мало кто из родителей хочет вникать в учебные дела ребёнка, а многие из них просто не способны чем</w:t>
      </w:r>
      <w:r w:rsidR="00600C73" w:rsidRPr="00062B84">
        <w:rPr>
          <w:rFonts w:ascii="Times New Roman" w:eastAsia="Times New Roman" w:hAnsi="Times New Roman" w:cs="Times New Roman"/>
          <w:color w:val="000000"/>
          <w:sz w:val="24"/>
          <w:szCs w:val="24"/>
          <w:lang w:eastAsia="ru-RU"/>
        </w:rPr>
        <w:t>-</w:t>
      </w:r>
      <w:r w:rsidRPr="00062B84">
        <w:rPr>
          <w:rFonts w:ascii="Times New Roman" w:eastAsia="Times New Roman" w:hAnsi="Times New Roman" w:cs="Times New Roman"/>
          <w:color w:val="000000"/>
          <w:sz w:val="24"/>
          <w:szCs w:val="24"/>
          <w:lang w:eastAsia="ru-RU"/>
        </w:rPr>
        <w:t xml:space="preserve">то помочь в силу собственного низкого образовательного уровня и асоциального образа жизни. Следовательно, в сложных социальных условиях семье требуется регулярная и высокопрофессиональная помощь со стороны школы. Анализ результатов внешнего и внутреннего мониторинга качества </w:t>
      </w:r>
      <w:r w:rsidR="00BD45E6" w:rsidRPr="00062B84">
        <w:rPr>
          <w:rFonts w:ascii="Times New Roman" w:eastAsia="Times New Roman" w:hAnsi="Times New Roman" w:cs="Times New Roman"/>
          <w:color w:val="000000"/>
          <w:sz w:val="24"/>
          <w:szCs w:val="24"/>
          <w:lang w:eastAsia="ru-RU"/>
        </w:rPr>
        <w:t>знаний,</w:t>
      </w:r>
      <w:r w:rsidRPr="00062B84">
        <w:rPr>
          <w:rFonts w:ascii="Times New Roman" w:eastAsia="Times New Roman" w:hAnsi="Times New Roman" w:cs="Times New Roman"/>
          <w:color w:val="000000"/>
          <w:sz w:val="24"/>
          <w:szCs w:val="24"/>
          <w:lang w:eastAsia="ru-RU"/>
        </w:rPr>
        <w:t xml:space="preserve"> обучающихся выявил проблему высокой доли обучающихся </w:t>
      </w:r>
      <w:r w:rsidR="00BD45E6" w:rsidRPr="00062B84">
        <w:rPr>
          <w:rFonts w:ascii="Times New Roman" w:eastAsia="Times New Roman" w:hAnsi="Times New Roman" w:cs="Times New Roman"/>
          <w:color w:val="000000"/>
          <w:sz w:val="24"/>
          <w:szCs w:val="24"/>
          <w:lang w:eastAsia="ru-RU"/>
        </w:rPr>
        <w:t>с рисками</w:t>
      </w:r>
      <w:r w:rsidRPr="00062B84">
        <w:rPr>
          <w:rFonts w:ascii="Times New Roman" w:eastAsia="Times New Roman" w:hAnsi="Times New Roman" w:cs="Times New Roman"/>
          <w:color w:val="000000"/>
          <w:sz w:val="24"/>
          <w:szCs w:val="24"/>
          <w:lang w:eastAsia="ru-RU"/>
        </w:rPr>
        <w:t xml:space="preserve"> учебной </w:t>
      </w:r>
      <w:proofErr w:type="spellStart"/>
      <w:r w:rsidRPr="00062B84">
        <w:rPr>
          <w:rFonts w:ascii="Times New Roman" w:eastAsia="Times New Roman" w:hAnsi="Times New Roman" w:cs="Times New Roman"/>
          <w:color w:val="000000"/>
          <w:sz w:val="24"/>
          <w:szCs w:val="24"/>
          <w:lang w:eastAsia="ru-RU"/>
        </w:rPr>
        <w:t>неуспешности</w:t>
      </w:r>
      <w:proofErr w:type="spellEnd"/>
      <w:r w:rsidRPr="00062B84">
        <w:rPr>
          <w:rFonts w:ascii="Times New Roman" w:eastAsia="Times New Roman" w:hAnsi="Times New Roman" w:cs="Times New Roman"/>
          <w:color w:val="000000"/>
          <w:sz w:val="24"/>
          <w:szCs w:val="24"/>
          <w:lang w:eastAsia="ru-RU"/>
        </w:rPr>
        <w:t xml:space="preserve">.  Мы пришли к выводу, что для объективного анализа образовательных результатов ученика необходимо учитывать очень много факторов, таких, как: полная информация об образовании родителей школьников, их социальном статусе, о полноте семей учеников, о многодетных семьях и т.д.   Как правило, проблемы, с которыми сталкиваются обучающиеся, зачастую имеют социальный характер. Это трудности, связанные с межличностными отношениями, эмоционально-волевой сферой, </w:t>
      </w:r>
      <w:r w:rsidRPr="00062B84">
        <w:rPr>
          <w:rFonts w:ascii="Times New Roman" w:eastAsia="Times New Roman" w:hAnsi="Times New Roman" w:cs="Times New Roman"/>
          <w:color w:val="000000"/>
          <w:sz w:val="24"/>
          <w:szCs w:val="24"/>
          <w:lang w:eastAsia="ru-RU"/>
        </w:rPr>
        <w:lastRenderedPageBreak/>
        <w:t>самосознанием и мировоззрением. Школа должна стать местом, где психологически комфортно, откуда не хочется уходить.</w:t>
      </w:r>
    </w:p>
    <w:p w:rsidR="00C757D3" w:rsidRPr="00062B84" w:rsidRDefault="00C757D3" w:rsidP="00062B84">
      <w:pPr>
        <w:shd w:val="clear" w:color="auto" w:fill="FFFFFF"/>
        <w:spacing w:after="22" w:line="240" w:lineRule="auto"/>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 xml:space="preserve">    Ситуацию осложняет большая недельная нагрузка </w:t>
      </w:r>
      <w:r w:rsidR="00BD45E6" w:rsidRPr="00062B84">
        <w:rPr>
          <w:rFonts w:ascii="Times New Roman" w:eastAsia="Times New Roman" w:hAnsi="Times New Roman" w:cs="Times New Roman"/>
          <w:color w:val="000000"/>
          <w:sz w:val="24"/>
          <w:szCs w:val="24"/>
          <w:lang w:eastAsia="ru-RU"/>
        </w:rPr>
        <w:t>педагогов, «</w:t>
      </w:r>
      <w:r w:rsidRPr="00062B84">
        <w:rPr>
          <w:rFonts w:ascii="Times New Roman" w:eastAsia="Times New Roman" w:hAnsi="Times New Roman" w:cs="Times New Roman"/>
          <w:color w:val="000000"/>
          <w:sz w:val="24"/>
          <w:szCs w:val="24"/>
          <w:lang w:eastAsia="ru-RU"/>
        </w:rPr>
        <w:t>профессиональное выгорание» и изменения в поведении ряда коллег в сторону агрессивного или апатичного при попытке администрации внедрения каких-либо новшеств в привычный уклад школьной жизни.</w:t>
      </w:r>
    </w:p>
    <w:p w:rsidR="00C757D3" w:rsidRPr="00062B84" w:rsidRDefault="00C757D3" w:rsidP="00062B84">
      <w:pPr>
        <w:shd w:val="clear" w:color="auto" w:fill="FFFFFF"/>
        <w:spacing w:after="24" w:line="225" w:lineRule="atLeast"/>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b/>
          <w:bCs/>
          <w:color w:val="000000"/>
          <w:sz w:val="24"/>
          <w:szCs w:val="24"/>
          <w:lang w:eastAsia="ru-RU"/>
        </w:rPr>
        <w:t> </w:t>
      </w:r>
    </w:p>
    <w:p w:rsidR="00C757D3" w:rsidRPr="00062B84" w:rsidRDefault="00C757D3" w:rsidP="00062B84">
      <w:pPr>
        <w:shd w:val="clear" w:color="auto" w:fill="FFFFFF"/>
        <w:spacing w:after="450" w:line="240" w:lineRule="auto"/>
        <w:jc w:val="both"/>
        <w:outlineLvl w:val="0"/>
        <w:rPr>
          <w:rFonts w:ascii="Times New Roman" w:eastAsia="Times New Roman" w:hAnsi="Times New Roman" w:cs="Times New Roman"/>
          <w:color w:val="000000"/>
          <w:kern w:val="36"/>
          <w:sz w:val="24"/>
          <w:szCs w:val="24"/>
          <w:lang w:eastAsia="ru-RU"/>
        </w:rPr>
      </w:pPr>
      <w:r w:rsidRPr="00062B84">
        <w:rPr>
          <w:rFonts w:ascii="Times New Roman" w:eastAsia="Times New Roman" w:hAnsi="Times New Roman" w:cs="Times New Roman"/>
          <w:color w:val="000000"/>
          <w:kern w:val="36"/>
          <w:sz w:val="24"/>
          <w:szCs w:val="24"/>
          <w:lang w:eastAsia="ru-RU"/>
        </w:rPr>
        <w:t>Описание решений</w:t>
      </w:r>
    </w:p>
    <w:p w:rsidR="00C757D3" w:rsidRPr="00062B84" w:rsidRDefault="00C757D3" w:rsidP="00BD45E6">
      <w:pPr>
        <w:shd w:val="clear" w:color="auto" w:fill="FFFFFF"/>
        <w:spacing w:after="22" w:line="240" w:lineRule="auto"/>
        <w:ind w:firstLine="708"/>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 xml:space="preserve">Для решения данных проблем в рамках реализации проекта «500+» были разработаны две программы </w:t>
      </w:r>
      <w:proofErr w:type="spellStart"/>
      <w:r w:rsidRPr="00062B84">
        <w:rPr>
          <w:rFonts w:ascii="Times New Roman" w:eastAsia="Times New Roman" w:hAnsi="Times New Roman" w:cs="Times New Roman"/>
          <w:color w:val="000000"/>
          <w:sz w:val="24"/>
          <w:szCs w:val="24"/>
          <w:lang w:eastAsia="ru-RU"/>
        </w:rPr>
        <w:t>антирисковых</w:t>
      </w:r>
      <w:proofErr w:type="spellEnd"/>
      <w:r w:rsidRPr="00062B84">
        <w:rPr>
          <w:rFonts w:ascii="Times New Roman" w:eastAsia="Times New Roman" w:hAnsi="Times New Roman" w:cs="Times New Roman"/>
          <w:color w:val="000000"/>
          <w:sz w:val="24"/>
          <w:szCs w:val="24"/>
          <w:lang w:eastAsia="ru-RU"/>
        </w:rPr>
        <w:t xml:space="preserve"> мер на 2021год: </w:t>
      </w:r>
      <w:r w:rsidR="00C0492B" w:rsidRPr="00062B84">
        <w:rPr>
          <w:rFonts w:ascii="Times New Roman" w:eastAsia="Times New Roman" w:hAnsi="Times New Roman" w:cs="Times New Roman"/>
          <w:color w:val="000000"/>
          <w:sz w:val="24"/>
          <w:szCs w:val="24"/>
          <w:lang w:eastAsia="ru-RU"/>
        </w:rPr>
        <w:t xml:space="preserve">«Программа </w:t>
      </w:r>
      <w:proofErr w:type="spellStart"/>
      <w:r w:rsidR="00C0492B" w:rsidRPr="00062B84">
        <w:rPr>
          <w:rFonts w:ascii="Times New Roman" w:eastAsia="Times New Roman" w:hAnsi="Times New Roman" w:cs="Times New Roman"/>
          <w:color w:val="000000"/>
          <w:sz w:val="24"/>
          <w:szCs w:val="24"/>
          <w:lang w:eastAsia="ru-RU"/>
        </w:rPr>
        <w:t>антирисковых</w:t>
      </w:r>
      <w:proofErr w:type="spellEnd"/>
      <w:r w:rsidR="00C0492B" w:rsidRPr="00062B84">
        <w:rPr>
          <w:rFonts w:ascii="Times New Roman" w:eastAsia="Times New Roman" w:hAnsi="Times New Roman" w:cs="Times New Roman"/>
          <w:color w:val="000000"/>
          <w:sz w:val="24"/>
          <w:szCs w:val="24"/>
          <w:lang w:eastAsia="ru-RU"/>
        </w:rPr>
        <w:t xml:space="preserve"> </w:t>
      </w:r>
      <w:r w:rsidR="00C0492B" w:rsidRPr="00062B84">
        <w:rPr>
          <w:rFonts w:ascii="Times New Roman" w:hAnsi="Times New Roman" w:cs="Times New Roman"/>
          <w:sz w:val="24"/>
          <w:szCs w:val="24"/>
        </w:rPr>
        <w:t>мер по повышению уровня оснащения школы» (</w:t>
      </w:r>
      <w:r w:rsidRPr="00062B84">
        <w:rPr>
          <w:rFonts w:ascii="Times New Roman" w:eastAsia="Times New Roman" w:hAnsi="Times New Roman" w:cs="Times New Roman"/>
          <w:color w:val="000000"/>
          <w:sz w:val="24"/>
          <w:szCs w:val="24"/>
          <w:lang w:eastAsia="ru-RU"/>
        </w:rPr>
        <w:t>фактор риска «низкий уровень оснащения школы»), «Успех каждого ребенка» (фактор риска «</w:t>
      </w:r>
      <w:r w:rsidR="00BD45E6" w:rsidRPr="00062B84">
        <w:rPr>
          <w:rFonts w:ascii="Times New Roman" w:eastAsia="Times New Roman" w:hAnsi="Times New Roman" w:cs="Times New Roman"/>
          <w:color w:val="000000"/>
          <w:sz w:val="24"/>
          <w:szCs w:val="24"/>
          <w:lang w:eastAsia="ru-RU"/>
        </w:rPr>
        <w:t>высокая доля</w:t>
      </w:r>
      <w:r w:rsidRPr="00062B84">
        <w:rPr>
          <w:rFonts w:ascii="Times New Roman" w:eastAsia="Times New Roman" w:hAnsi="Times New Roman" w:cs="Times New Roman"/>
          <w:color w:val="000000"/>
          <w:sz w:val="24"/>
          <w:szCs w:val="24"/>
          <w:lang w:eastAsia="ru-RU"/>
        </w:rPr>
        <w:t xml:space="preserve"> обучающихся с рисками учебной </w:t>
      </w:r>
      <w:proofErr w:type="spellStart"/>
      <w:r w:rsidRPr="00062B84">
        <w:rPr>
          <w:rFonts w:ascii="Times New Roman" w:eastAsia="Times New Roman" w:hAnsi="Times New Roman" w:cs="Times New Roman"/>
          <w:color w:val="000000"/>
          <w:sz w:val="24"/>
          <w:szCs w:val="24"/>
          <w:lang w:eastAsia="ru-RU"/>
        </w:rPr>
        <w:t>неуспешности</w:t>
      </w:r>
      <w:proofErr w:type="spellEnd"/>
      <w:r w:rsidRPr="00062B84">
        <w:rPr>
          <w:rFonts w:ascii="Times New Roman" w:eastAsia="Times New Roman" w:hAnsi="Times New Roman" w:cs="Times New Roman"/>
          <w:color w:val="000000"/>
          <w:sz w:val="24"/>
          <w:szCs w:val="24"/>
          <w:lang w:eastAsia="ru-RU"/>
        </w:rPr>
        <w:t>). Каждая программа включает комплекс мер и мероприятий, позволяющих снизить выявленные риски. </w:t>
      </w:r>
    </w:p>
    <w:p w:rsidR="00C0492B" w:rsidRPr="00062B84" w:rsidRDefault="00C757D3" w:rsidP="00062B84">
      <w:pPr>
        <w:shd w:val="clear" w:color="auto" w:fill="FFFFFF"/>
        <w:spacing w:after="22" w:line="240" w:lineRule="auto"/>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 xml:space="preserve">    </w:t>
      </w:r>
      <w:r w:rsidR="00C0492B" w:rsidRPr="00062B84">
        <w:rPr>
          <w:rFonts w:ascii="Times New Roman" w:eastAsia="Times New Roman" w:hAnsi="Times New Roman" w:cs="Times New Roman"/>
          <w:color w:val="000000"/>
          <w:sz w:val="24"/>
          <w:szCs w:val="24"/>
          <w:lang w:eastAsia="ru-RU"/>
        </w:rPr>
        <w:t>Первая п</w:t>
      </w:r>
      <w:r w:rsidRPr="00062B84">
        <w:rPr>
          <w:rFonts w:ascii="Times New Roman" w:eastAsia="Times New Roman" w:hAnsi="Times New Roman" w:cs="Times New Roman"/>
          <w:color w:val="000000"/>
          <w:sz w:val="24"/>
          <w:szCs w:val="24"/>
          <w:lang w:eastAsia="ru-RU"/>
        </w:rPr>
        <w:t xml:space="preserve">рограмма предполагает обновить оборудование кабинета </w:t>
      </w:r>
      <w:r w:rsidR="00C0492B" w:rsidRPr="00062B84">
        <w:rPr>
          <w:rFonts w:ascii="Times New Roman" w:eastAsia="Times New Roman" w:hAnsi="Times New Roman" w:cs="Times New Roman"/>
          <w:color w:val="000000"/>
          <w:sz w:val="24"/>
          <w:szCs w:val="24"/>
          <w:lang w:eastAsia="ru-RU"/>
        </w:rPr>
        <w:t>информатики</w:t>
      </w:r>
      <w:r w:rsidRPr="00062B84">
        <w:rPr>
          <w:rFonts w:ascii="Times New Roman" w:eastAsia="Times New Roman" w:hAnsi="Times New Roman" w:cs="Times New Roman"/>
          <w:color w:val="000000"/>
          <w:sz w:val="24"/>
          <w:szCs w:val="24"/>
          <w:lang w:eastAsia="ru-RU"/>
        </w:rPr>
        <w:t xml:space="preserve">, </w:t>
      </w:r>
      <w:r w:rsidR="00BD45E6" w:rsidRPr="00062B84">
        <w:rPr>
          <w:rFonts w:ascii="Times New Roman" w:eastAsia="Times New Roman" w:hAnsi="Times New Roman" w:cs="Times New Roman"/>
          <w:color w:val="000000"/>
          <w:sz w:val="24"/>
          <w:szCs w:val="24"/>
          <w:lang w:eastAsia="ru-RU"/>
        </w:rPr>
        <w:t>обновить библиотечный фонд</w:t>
      </w:r>
      <w:r w:rsidRPr="00062B84">
        <w:rPr>
          <w:rFonts w:ascii="Times New Roman" w:eastAsia="Times New Roman" w:hAnsi="Times New Roman" w:cs="Times New Roman"/>
          <w:color w:val="000000"/>
          <w:sz w:val="24"/>
          <w:szCs w:val="24"/>
          <w:lang w:eastAsia="ru-RU"/>
        </w:rPr>
        <w:t xml:space="preserve"> учреждения электронными (</w:t>
      </w:r>
      <w:r w:rsidR="00BD45E6" w:rsidRPr="00062B84">
        <w:rPr>
          <w:rFonts w:ascii="Times New Roman" w:eastAsia="Times New Roman" w:hAnsi="Times New Roman" w:cs="Times New Roman"/>
          <w:color w:val="000000"/>
          <w:sz w:val="24"/>
          <w:szCs w:val="24"/>
          <w:lang w:eastAsia="ru-RU"/>
        </w:rPr>
        <w:t>цифровыми) образовательными</w:t>
      </w:r>
      <w:r w:rsidRPr="00062B84">
        <w:rPr>
          <w:rFonts w:ascii="Times New Roman" w:eastAsia="Times New Roman" w:hAnsi="Times New Roman" w:cs="Times New Roman"/>
          <w:color w:val="000000"/>
          <w:sz w:val="24"/>
          <w:szCs w:val="24"/>
          <w:lang w:eastAsia="ru-RU"/>
        </w:rPr>
        <w:t xml:space="preserve"> ресурсами. В рамках федерального проекта «</w:t>
      </w:r>
      <w:r w:rsidR="00C0492B" w:rsidRPr="00062B84">
        <w:rPr>
          <w:rFonts w:ascii="Times New Roman" w:eastAsia="Times New Roman" w:hAnsi="Times New Roman" w:cs="Times New Roman"/>
          <w:color w:val="000000"/>
          <w:sz w:val="24"/>
          <w:szCs w:val="24"/>
          <w:lang w:eastAsia="ru-RU"/>
        </w:rPr>
        <w:t>Успех каждого ребенка</w:t>
      </w:r>
      <w:r w:rsidRPr="00062B84">
        <w:rPr>
          <w:rFonts w:ascii="Times New Roman" w:eastAsia="Times New Roman" w:hAnsi="Times New Roman" w:cs="Times New Roman"/>
          <w:color w:val="000000"/>
          <w:sz w:val="24"/>
          <w:szCs w:val="24"/>
          <w:lang w:eastAsia="ru-RU"/>
        </w:rPr>
        <w:t>» - дооснастить кабинет</w:t>
      </w:r>
      <w:r w:rsidR="00C0492B" w:rsidRPr="00062B84">
        <w:rPr>
          <w:rFonts w:ascii="Times New Roman" w:eastAsia="Times New Roman" w:hAnsi="Times New Roman" w:cs="Times New Roman"/>
          <w:color w:val="000000"/>
          <w:sz w:val="24"/>
          <w:szCs w:val="24"/>
          <w:lang w:eastAsia="ru-RU"/>
        </w:rPr>
        <w:t xml:space="preserve"> </w:t>
      </w:r>
      <w:proofErr w:type="spellStart"/>
      <w:r w:rsidR="00C0492B" w:rsidRPr="00062B84">
        <w:rPr>
          <w:rFonts w:ascii="Times New Roman" w:eastAsia="Times New Roman" w:hAnsi="Times New Roman" w:cs="Times New Roman"/>
          <w:color w:val="000000"/>
          <w:sz w:val="24"/>
          <w:szCs w:val="24"/>
          <w:lang w:eastAsia="ru-RU"/>
        </w:rPr>
        <w:t>инфоратики</w:t>
      </w:r>
      <w:proofErr w:type="spellEnd"/>
      <w:r w:rsidRPr="00062B84">
        <w:rPr>
          <w:rFonts w:ascii="Times New Roman" w:eastAsia="Times New Roman" w:hAnsi="Times New Roman" w:cs="Times New Roman"/>
          <w:color w:val="000000"/>
          <w:sz w:val="24"/>
          <w:szCs w:val="24"/>
          <w:lang w:eastAsia="ru-RU"/>
        </w:rPr>
        <w:t>, библиотеку компьютерным, мультимедийным</w:t>
      </w:r>
      <w:r w:rsidR="00C0492B" w:rsidRPr="00062B84">
        <w:rPr>
          <w:rFonts w:ascii="Times New Roman" w:eastAsia="Times New Roman" w:hAnsi="Times New Roman" w:cs="Times New Roman"/>
          <w:color w:val="000000"/>
          <w:sz w:val="24"/>
          <w:szCs w:val="24"/>
          <w:lang w:eastAsia="ru-RU"/>
        </w:rPr>
        <w:t>, презентационным оборудованием.</w:t>
      </w:r>
    </w:p>
    <w:p w:rsidR="00C757D3" w:rsidRPr="00062B84" w:rsidRDefault="00C0492B" w:rsidP="00062B84">
      <w:pPr>
        <w:shd w:val="clear" w:color="auto" w:fill="FFFFFF"/>
        <w:spacing w:after="22" w:line="240" w:lineRule="auto"/>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В</w:t>
      </w:r>
      <w:r w:rsidR="00C757D3" w:rsidRPr="00062B84">
        <w:rPr>
          <w:rFonts w:ascii="Times New Roman" w:eastAsia="Times New Roman" w:hAnsi="Times New Roman" w:cs="Times New Roman"/>
          <w:color w:val="000000"/>
          <w:sz w:val="24"/>
          <w:szCs w:val="24"/>
          <w:lang w:eastAsia="ru-RU"/>
        </w:rPr>
        <w:t xml:space="preserve">ажное значение уделено созданию комфортной окружающей </w:t>
      </w:r>
      <w:r w:rsidR="00BD45E6" w:rsidRPr="00062B84">
        <w:rPr>
          <w:rFonts w:ascii="Times New Roman" w:eastAsia="Times New Roman" w:hAnsi="Times New Roman" w:cs="Times New Roman"/>
          <w:color w:val="000000"/>
          <w:sz w:val="24"/>
          <w:szCs w:val="24"/>
          <w:lang w:eastAsia="ru-RU"/>
        </w:rPr>
        <w:t>среды, предполагается</w:t>
      </w:r>
      <w:r w:rsidR="00C757D3" w:rsidRPr="00062B84">
        <w:rPr>
          <w:rFonts w:ascii="Times New Roman" w:eastAsia="Times New Roman" w:hAnsi="Times New Roman" w:cs="Times New Roman"/>
          <w:color w:val="000000"/>
          <w:sz w:val="24"/>
          <w:szCs w:val="24"/>
          <w:lang w:eastAsia="ru-RU"/>
        </w:rPr>
        <w:t xml:space="preserve"> преобразовать школьную рекреацию на 1-ом этаже в зону отдыха. </w:t>
      </w:r>
    </w:p>
    <w:p w:rsidR="00C757D3" w:rsidRPr="00062B84" w:rsidRDefault="00C757D3" w:rsidP="00BD45E6">
      <w:pPr>
        <w:shd w:val="clear" w:color="auto" w:fill="FFFFFF"/>
        <w:spacing w:after="22" w:line="240" w:lineRule="auto"/>
        <w:ind w:firstLine="708"/>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 xml:space="preserve"> Программа «Успех каждого ребенка» предполагает активную комплексную работу со всеми участниками образовательных отношений для уменьшения доли учащихся с рисками учебной </w:t>
      </w:r>
      <w:proofErr w:type="spellStart"/>
      <w:r w:rsidRPr="00062B84">
        <w:rPr>
          <w:rFonts w:ascii="Times New Roman" w:eastAsia="Times New Roman" w:hAnsi="Times New Roman" w:cs="Times New Roman"/>
          <w:color w:val="000000"/>
          <w:sz w:val="24"/>
          <w:szCs w:val="24"/>
          <w:lang w:eastAsia="ru-RU"/>
        </w:rPr>
        <w:t>неуспешности</w:t>
      </w:r>
      <w:proofErr w:type="spellEnd"/>
      <w:r w:rsidRPr="00062B84">
        <w:rPr>
          <w:rFonts w:ascii="Times New Roman" w:eastAsia="Times New Roman" w:hAnsi="Times New Roman" w:cs="Times New Roman"/>
          <w:color w:val="000000"/>
          <w:sz w:val="24"/>
          <w:szCs w:val="24"/>
          <w:lang w:eastAsia="ru-RU"/>
        </w:rPr>
        <w:t xml:space="preserve">: на основе диагностики выявить причины и пути преодоления учебной </w:t>
      </w:r>
      <w:proofErr w:type="spellStart"/>
      <w:r w:rsidRPr="00062B84">
        <w:rPr>
          <w:rFonts w:ascii="Times New Roman" w:eastAsia="Times New Roman" w:hAnsi="Times New Roman" w:cs="Times New Roman"/>
          <w:color w:val="000000"/>
          <w:sz w:val="24"/>
          <w:szCs w:val="24"/>
          <w:lang w:eastAsia="ru-RU"/>
        </w:rPr>
        <w:t>неуспешности</w:t>
      </w:r>
      <w:proofErr w:type="spellEnd"/>
      <w:r w:rsidRPr="00062B84">
        <w:rPr>
          <w:rFonts w:ascii="Times New Roman" w:eastAsia="Times New Roman" w:hAnsi="Times New Roman" w:cs="Times New Roman"/>
          <w:color w:val="000000"/>
          <w:sz w:val="24"/>
          <w:szCs w:val="24"/>
          <w:lang w:eastAsia="ru-RU"/>
        </w:rPr>
        <w:t xml:space="preserve">, реализовать  индивидуальные траектории обучения школьников с учетом их индивидуальных и личностных особенностей, повысить  профессиональные компетенции педагогов, создать систему эффективных современных педагогических инструментов преодоления образовательной </w:t>
      </w:r>
      <w:proofErr w:type="spellStart"/>
      <w:r w:rsidRPr="00062B84">
        <w:rPr>
          <w:rFonts w:ascii="Times New Roman" w:eastAsia="Times New Roman" w:hAnsi="Times New Roman" w:cs="Times New Roman"/>
          <w:color w:val="000000"/>
          <w:sz w:val="24"/>
          <w:szCs w:val="24"/>
          <w:lang w:eastAsia="ru-RU"/>
        </w:rPr>
        <w:t>неуспешности</w:t>
      </w:r>
      <w:proofErr w:type="spellEnd"/>
      <w:r w:rsidRPr="00062B84">
        <w:rPr>
          <w:rFonts w:ascii="Times New Roman" w:eastAsia="Times New Roman" w:hAnsi="Times New Roman" w:cs="Times New Roman"/>
          <w:color w:val="000000"/>
          <w:sz w:val="24"/>
          <w:szCs w:val="24"/>
          <w:lang w:eastAsia="ru-RU"/>
        </w:rPr>
        <w:t xml:space="preserve">, повернуть родителей лицом к школе за счет «включенности» родителей в </w:t>
      </w:r>
      <w:proofErr w:type="spellStart"/>
      <w:r w:rsidRPr="00062B84">
        <w:rPr>
          <w:rFonts w:ascii="Times New Roman" w:eastAsia="Times New Roman" w:hAnsi="Times New Roman" w:cs="Times New Roman"/>
          <w:color w:val="000000"/>
          <w:sz w:val="24"/>
          <w:szCs w:val="24"/>
          <w:lang w:eastAsia="ru-RU"/>
        </w:rPr>
        <w:t>бразовательный</w:t>
      </w:r>
      <w:proofErr w:type="spellEnd"/>
      <w:r w:rsidRPr="00062B84">
        <w:rPr>
          <w:rFonts w:ascii="Times New Roman" w:eastAsia="Times New Roman" w:hAnsi="Times New Roman" w:cs="Times New Roman"/>
          <w:color w:val="000000"/>
          <w:sz w:val="24"/>
          <w:szCs w:val="24"/>
          <w:lang w:eastAsia="ru-RU"/>
        </w:rPr>
        <w:t xml:space="preserve"> процесс.</w:t>
      </w:r>
    </w:p>
    <w:p w:rsidR="00C0492B" w:rsidRPr="00062B84" w:rsidRDefault="00C0492B" w:rsidP="00BD45E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0492B">
        <w:rPr>
          <w:rFonts w:ascii="Times New Roman" w:hAnsi="Times New Roman" w:cs="Times New Roman"/>
          <w:color w:val="000000"/>
          <w:sz w:val="24"/>
          <w:szCs w:val="24"/>
        </w:rPr>
        <w:t xml:space="preserve">Важные меры были предприняты в рамках обеспечения индивидуализации и персонализации обучения. Это и проведенный пересмотр содержания учебных планов, и корректировка рабочих образовательных программ, реализация адаптированных образовательных программ, психолого-педагогическое сопровождение учащихся, оказание </w:t>
      </w:r>
      <w:proofErr w:type="spellStart"/>
      <w:r w:rsidRPr="00C0492B">
        <w:rPr>
          <w:rFonts w:ascii="Times New Roman" w:hAnsi="Times New Roman" w:cs="Times New Roman"/>
          <w:color w:val="000000"/>
          <w:sz w:val="24"/>
          <w:szCs w:val="24"/>
        </w:rPr>
        <w:t>тьюторской</w:t>
      </w:r>
      <w:proofErr w:type="spellEnd"/>
      <w:r w:rsidRPr="00C0492B">
        <w:rPr>
          <w:rFonts w:ascii="Times New Roman" w:hAnsi="Times New Roman" w:cs="Times New Roman"/>
          <w:color w:val="000000"/>
          <w:sz w:val="24"/>
          <w:szCs w:val="24"/>
        </w:rPr>
        <w:t xml:space="preserve"> поддержки детям-инвалидам, проведение коррекционно-развивающих занятий со слабоуспевающими в малых группах по итогам оценочных процедур</w:t>
      </w:r>
      <w:r w:rsidRPr="00062B84">
        <w:rPr>
          <w:rFonts w:ascii="Times New Roman" w:hAnsi="Times New Roman" w:cs="Times New Roman"/>
          <w:color w:val="000000"/>
          <w:sz w:val="24"/>
          <w:szCs w:val="24"/>
        </w:rPr>
        <w:t>.</w:t>
      </w:r>
    </w:p>
    <w:p w:rsidR="00C0492B" w:rsidRPr="00062B84" w:rsidRDefault="00C0492B" w:rsidP="00BD45E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0492B">
        <w:rPr>
          <w:rFonts w:ascii="Times New Roman" w:hAnsi="Times New Roman" w:cs="Times New Roman"/>
          <w:color w:val="000000"/>
          <w:sz w:val="24"/>
          <w:szCs w:val="24"/>
        </w:rPr>
        <w:t>Большая работа проведена по обеспечению объективности оценивания учебных достижений ребят. Для этого школа перешла на средневзвешенную систему оценивания. На каждой оценочной процедуре обеспечено обязательное присутствие общественных наблюдателей, внедрена перекрестная проверка работ между учителями, классами, учителя разрабатывают достаточное количество вариантов проверочных работ в целях недопущения списывания, запрещено использование сотовых телефонов</w:t>
      </w:r>
      <w:r w:rsidRPr="00062B84">
        <w:rPr>
          <w:rFonts w:ascii="Times New Roman" w:hAnsi="Times New Roman" w:cs="Times New Roman"/>
          <w:color w:val="000000"/>
          <w:sz w:val="24"/>
          <w:szCs w:val="24"/>
        </w:rPr>
        <w:t>.</w:t>
      </w:r>
      <w:r w:rsidR="00BD45E6">
        <w:rPr>
          <w:rFonts w:ascii="Times New Roman" w:hAnsi="Times New Roman" w:cs="Times New Roman"/>
          <w:color w:val="000000"/>
          <w:sz w:val="24"/>
          <w:szCs w:val="24"/>
        </w:rPr>
        <w:t xml:space="preserve"> У</w:t>
      </w:r>
      <w:r w:rsidRPr="00C0492B">
        <w:rPr>
          <w:rFonts w:ascii="Times New Roman" w:hAnsi="Times New Roman" w:cs="Times New Roman"/>
          <w:color w:val="000000"/>
          <w:sz w:val="24"/>
          <w:szCs w:val="24"/>
        </w:rPr>
        <w:t>силено внимание к работе по выявлению и развитию одаренных и талантливых обучающихся, были обновлены направления работы по дополнительному образованию, внеурочной занятости</w:t>
      </w:r>
      <w:r w:rsidRPr="00062B84">
        <w:rPr>
          <w:rFonts w:ascii="Times New Roman" w:hAnsi="Times New Roman" w:cs="Times New Roman"/>
          <w:color w:val="000000"/>
          <w:sz w:val="24"/>
          <w:szCs w:val="24"/>
        </w:rPr>
        <w:t>.</w:t>
      </w:r>
    </w:p>
    <w:p w:rsidR="00586395" w:rsidRPr="00C0492B" w:rsidRDefault="00586395" w:rsidP="00BD45E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0492B">
        <w:rPr>
          <w:rFonts w:ascii="Times New Roman" w:hAnsi="Times New Roman" w:cs="Times New Roman"/>
          <w:color w:val="000000"/>
          <w:sz w:val="24"/>
          <w:szCs w:val="24"/>
        </w:rPr>
        <w:t xml:space="preserve">Школа вовлекает родителей и делает их активными участниками школьных традиционных мероприятий. </w:t>
      </w:r>
    </w:p>
    <w:p w:rsidR="00C0492B" w:rsidRPr="00062B84" w:rsidRDefault="00586395" w:rsidP="00BD45E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0492B">
        <w:rPr>
          <w:rFonts w:ascii="Times New Roman" w:hAnsi="Times New Roman" w:cs="Times New Roman"/>
          <w:color w:val="000000"/>
          <w:sz w:val="24"/>
          <w:szCs w:val="24"/>
        </w:rPr>
        <w:t>Важные действия были предприняты по созданию школьной команды. Коллектив понял, что только, когда педагоги воспринимают себя как команду, группу, объединенную единой целью, общими задачами, возможно добиться положительных изменений в деятельности. Поэтому была обновлена модель методической работы школы в направлении развития внутрикорпоративного обучения.</w:t>
      </w:r>
    </w:p>
    <w:p w:rsidR="00C0492B" w:rsidRPr="00062B84" w:rsidRDefault="00C0492B" w:rsidP="00062B84">
      <w:pPr>
        <w:shd w:val="clear" w:color="auto" w:fill="FFFFFF"/>
        <w:spacing w:after="22" w:line="240" w:lineRule="auto"/>
        <w:jc w:val="both"/>
        <w:rPr>
          <w:rFonts w:ascii="Times New Roman" w:eastAsia="Times New Roman" w:hAnsi="Times New Roman" w:cs="Times New Roman"/>
          <w:color w:val="000000"/>
          <w:sz w:val="24"/>
          <w:szCs w:val="24"/>
          <w:lang w:eastAsia="ru-RU"/>
        </w:rPr>
      </w:pPr>
    </w:p>
    <w:p w:rsidR="00C757D3" w:rsidRPr="00062B84" w:rsidRDefault="00C757D3" w:rsidP="00062B84">
      <w:pPr>
        <w:shd w:val="clear" w:color="auto" w:fill="FFFFFF"/>
        <w:spacing w:after="450" w:line="240" w:lineRule="auto"/>
        <w:jc w:val="both"/>
        <w:outlineLvl w:val="0"/>
        <w:rPr>
          <w:rFonts w:ascii="Times New Roman" w:eastAsia="Times New Roman" w:hAnsi="Times New Roman" w:cs="Times New Roman"/>
          <w:color w:val="000000"/>
          <w:kern w:val="36"/>
          <w:sz w:val="24"/>
          <w:szCs w:val="24"/>
          <w:lang w:eastAsia="ru-RU"/>
        </w:rPr>
      </w:pPr>
      <w:r w:rsidRPr="00062B84">
        <w:rPr>
          <w:rFonts w:ascii="Times New Roman" w:eastAsia="Times New Roman" w:hAnsi="Times New Roman" w:cs="Times New Roman"/>
          <w:color w:val="000000"/>
          <w:kern w:val="36"/>
          <w:sz w:val="24"/>
          <w:szCs w:val="24"/>
          <w:lang w:eastAsia="ru-RU"/>
        </w:rPr>
        <w:t>Описание результата</w:t>
      </w:r>
    </w:p>
    <w:p w:rsidR="00C757D3" w:rsidRPr="00062B84" w:rsidRDefault="00C757D3" w:rsidP="00BD45E6">
      <w:pPr>
        <w:shd w:val="clear" w:color="auto" w:fill="FFFFFF"/>
        <w:spacing w:after="22" w:line="240" w:lineRule="auto"/>
        <w:ind w:firstLine="708"/>
        <w:jc w:val="both"/>
        <w:rPr>
          <w:rFonts w:ascii="Times New Roman" w:eastAsia="Times New Roman" w:hAnsi="Times New Roman" w:cs="Times New Roman"/>
          <w:color w:val="000000"/>
          <w:sz w:val="24"/>
          <w:szCs w:val="24"/>
          <w:lang w:eastAsia="ru-RU"/>
        </w:rPr>
      </w:pPr>
      <w:r w:rsidRPr="00062B84">
        <w:rPr>
          <w:rFonts w:ascii="Times New Roman" w:eastAsia="Times New Roman" w:hAnsi="Times New Roman" w:cs="Times New Roman"/>
          <w:color w:val="000000"/>
          <w:sz w:val="24"/>
          <w:szCs w:val="24"/>
          <w:lang w:eastAsia="ru-RU"/>
        </w:rPr>
        <w:t xml:space="preserve">В процессе работы в рамках проекта на первом этапе усилия руководства школы и куратора были сконцентрированы на определении причин выявленных проблем и определения пути выхода из данной ситуации.  Все участники образовательных отношений были включены в работу (педагоги, учащиеся и их родители (законные представители). Использовались различные методы сбора информации: беседы, анкетирование, социальный опрос и т.д.   На заседании рабочей группы еженедельно проводился мониторинг реализации дорожной карты проекта «500+».  Мы понимаем, что находимся только в начале пути.  Проведя мониторинг первого этапа работы в проекте уже видны положительные сдвиги. Анализ результатов ВПР 2021 показал повышение абсолютной успеваемости по всем предметам. Дети совместно </w:t>
      </w:r>
      <w:r w:rsidRPr="00062B84">
        <w:rPr>
          <w:rFonts w:ascii="Times New Roman" w:eastAsia="Times New Roman" w:hAnsi="Times New Roman" w:cs="Times New Roman"/>
          <w:color w:val="000000"/>
          <w:sz w:val="24"/>
          <w:szCs w:val="24"/>
          <w:lang w:eastAsia="ru-RU"/>
        </w:rPr>
        <w:lastRenderedPageBreak/>
        <w:t xml:space="preserve">с родителями с удовольствием включаются во внеурочную деятельность по благоустройству школьных кабинетов, территории школы. Большая часть педагогического коллектива готовы к </w:t>
      </w:r>
      <w:r w:rsidR="00BD45E6" w:rsidRPr="00062B84">
        <w:rPr>
          <w:rFonts w:ascii="Times New Roman" w:eastAsia="Times New Roman" w:hAnsi="Times New Roman" w:cs="Times New Roman"/>
          <w:color w:val="000000"/>
          <w:sz w:val="24"/>
          <w:szCs w:val="24"/>
          <w:lang w:eastAsia="ru-RU"/>
        </w:rPr>
        <w:t>изменениям и</w:t>
      </w:r>
      <w:r w:rsidRPr="00062B84">
        <w:rPr>
          <w:rFonts w:ascii="Times New Roman" w:eastAsia="Times New Roman" w:hAnsi="Times New Roman" w:cs="Times New Roman"/>
          <w:color w:val="000000"/>
          <w:sz w:val="24"/>
          <w:szCs w:val="24"/>
          <w:lang w:eastAsia="ru-RU"/>
        </w:rPr>
        <w:t xml:space="preserve"> активно работают по реализации мероприятий проекта.  Видим, что цели поставлены реальные, результаты достижимые.   </w:t>
      </w:r>
    </w:p>
    <w:p w:rsidR="00062B84" w:rsidRDefault="00062B84" w:rsidP="00062B84">
      <w:pPr>
        <w:pStyle w:val="Default"/>
        <w:jc w:val="both"/>
      </w:pPr>
    </w:p>
    <w:p w:rsidR="00ED7E63" w:rsidRDefault="00ED7E63" w:rsidP="00062B84">
      <w:pPr>
        <w:pStyle w:val="Default"/>
        <w:jc w:val="both"/>
      </w:pPr>
    </w:p>
    <w:p w:rsidR="00ED7E63" w:rsidRDefault="00ED7E63" w:rsidP="00ED7E63">
      <w:pPr>
        <w:pStyle w:val="Default"/>
        <w:jc w:val="center"/>
      </w:pPr>
      <w:r>
        <w:t xml:space="preserve">Показатели уровня </w:t>
      </w:r>
      <w:proofErr w:type="spellStart"/>
      <w:r>
        <w:t>сформированности</w:t>
      </w:r>
      <w:proofErr w:type="spellEnd"/>
      <w:r>
        <w:t xml:space="preserve"> </w:t>
      </w:r>
      <w:proofErr w:type="gramStart"/>
      <w:r>
        <w:t>знаний</w:t>
      </w:r>
      <w:proofErr w:type="gramEnd"/>
      <w:r>
        <w:t xml:space="preserve"> учащихся по классам и учебным годам</w:t>
      </w:r>
    </w:p>
    <w:p w:rsidR="00ED7E63" w:rsidRDefault="00ED7E63" w:rsidP="00ED7E63">
      <w:pPr>
        <w:pStyle w:val="Default"/>
        <w:jc w:val="center"/>
      </w:pPr>
    </w:p>
    <w:tbl>
      <w:tblPr>
        <w:tblStyle w:val="a3"/>
        <w:tblW w:w="0" w:type="auto"/>
        <w:tblLook w:val="04A0" w:firstRow="1" w:lastRow="0" w:firstColumn="1" w:lastColumn="0" w:noHBand="0" w:noVBand="1"/>
      </w:tblPr>
      <w:tblGrid>
        <w:gridCol w:w="935"/>
        <w:gridCol w:w="1112"/>
        <w:gridCol w:w="1112"/>
        <w:gridCol w:w="1112"/>
        <w:gridCol w:w="1105"/>
        <w:gridCol w:w="1106"/>
        <w:gridCol w:w="1106"/>
        <w:gridCol w:w="1105"/>
        <w:gridCol w:w="1106"/>
        <w:gridCol w:w="1106"/>
      </w:tblGrid>
      <w:tr w:rsidR="00ED7E63" w:rsidTr="00F26BFB">
        <w:trPr>
          <w:trHeight w:val="285"/>
        </w:trPr>
        <w:tc>
          <w:tcPr>
            <w:tcW w:w="935" w:type="dxa"/>
            <w:vMerge w:val="restart"/>
            <w:vAlign w:val="center"/>
          </w:tcPr>
          <w:p w:rsidR="00ED7E63" w:rsidRDefault="00F26BFB" w:rsidP="00F26BFB">
            <w:pPr>
              <w:pStyle w:val="Default"/>
              <w:jc w:val="center"/>
            </w:pPr>
            <w:r>
              <w:t>классы</w:t>
            </w:r>
          </w:p>
        </w:tc>
        <w:tc>
          <w:tcPr>
            <w:tcW w:w="3336" w:type="dxa"/>
            <w:gridSpan w:val="3"/>
            <w:vAlign w:val="center"/>
          </w:tcPr>
          <w:p w:rsidR="00ED7E63" w:rsidRDefault="00ED7E63" w:rsidP="00F26BFB">
            <w:pPr>
              <w:pStyle w:val="Default"/>
              <w:jc w:val="center"/>
            </w:pPr>
          </w:p>
          <w:p w:rsidR="00ED7E63" w:rsidRDefault="00ED7E63" w:rsidP="00F26BFB">
            <w:pPr>
              <w:pStyle w:val="Default"/>
              <w:jc w:val="center"/>
            </w:pPr>
            <w:r>
              <w:t>Успеваемость</w:t>
            </w:r>
          </w:p>
        </w:tc>
        <w:tc>
          <w:tcPr>
            <w:tcW w:w="3317" w:type="dxa"/>
            <w:gridSpan w:val="3"/>
            <w:vAlign w:val="center"/>
          </w:tcPr>
          <w:p w:rsidR="00ED7E63" w:rsidRDefault="00ED7E63" w:rsidP="00F26BFB">
            <w:pPr>
              <w:pStyle w:val="Default"/>
              <w:jc w:val="center"/>
            </w:pPr>
            <w:r>
              <w:t>Качество</w:t>
            </w:r>
          </w:p>
        </w:tc>
        <w:tc>
          <w:tcPr>
            <w:tcW w:w="3317" w:type="dxa"/>
            <w:gridSpan w:val="3"/>
            <w:vAlign w:val="center"/>
          </w:tcPr>
          <w:p w:rsidR="00ED7E63" w:rsidRDefault="00ED7E63" w:rsidP="00F26BFB">
            <w:pPr>
              <w:pStyle w:val="Default"/>
              <w:jc w:val="center"/>
            </w:pPr>
            <w:r>
              <w:t>доля учащихся с неудовлетворительными показателями</w:t>
            </w:r>
            <w:r w:rsidR="007C5675">
              <w:t xml:space="preserve"> %</w:t>
            </w:r>
          </w:p>
        </w:tc>
      </w:tr>
      <w:tr w:rsidR="00ED7E63" w:rsidTr="00ED7E63">
        <w:trPr>
          <w:trHeight w:val="268"/>
        </w:trPr>
        <w:tc>
          <w:tcPr>
            <w:tcW w:w="935" w:type="dxa"/>
            <w:vMerge/>
          </w:tcPr>
          <w:p w:rsidR="00ED7E63" w:rsidRDefault="00ED7E63" w:rsidP="00ED7E63">
            <w:pPr>
              <w:pStyle w:val="Default"/>
              <w:jc w:val="center"/>
            </w:pPr>
          </w:p>
        </w:tc>
        <w:tc>
          <w:tcPr>
            <w:tcW w:w="1112" w:type="dxa"/>
          </w:tcPr>
          <w:p w:rsidR="00ED7E63" w:rsidRDefault="00ED7E63" w:rsidP="00ED7E63">
            <w:pPr>
              <w:pStyle w:val="Default"/>
              <w:jc w:val="center"/>
            </w:pPr>
            <w:r>
              <w:t>2019</w:t>
            </w:r>
          </w:p>
        </w:tc>
        <w:tc>
          <w:tcPr>
            <w:tcW w:w="1112" w:type="dxa"/>
          </w:tcPr>
          <w:p w:rsidR="00ED7E63" w:rsidRDefault="00ED7E63" w:rsidP="00ED7E63">
            <w:pPr>
              <w:pStyle w:val="Default"/>
              <w:jc w:val="center"/>
            </w:pPr>
            <w:r>
              <w:t>2020</w:t>
            </w:r>
          </w:p>
        </w:tc>
        <w:tc>
          <w:tcPr>
            <w:tcW w:w="1112" w:type="dxa"/>
          </w:tcPr>
          <w:p w:rsidR="00ED7E63" w:rsidRDefault="00ED7E63" w:rsidP="00ED7E63">
            <w:pPr>
              <w:pStyle w:val="Default"/>
              <w:jc w:val="center"/>
            </w:pPr>
            <w:r>
              <w:t>2021</w:t>
            </w:r>
          </w:p>
        </w:tc>
        <w:tc>
          <w:tcPr>
            <w:tcW w:w="1105" w:type="dxa"/>
          </w:tcPr>
          <w:p w:rsidR="00ED7E63" w:rsidRDefault="00ED7E63" w:rsidP="00ED7E63">
            <w:pPr>
              <w:pStyle w:val="Default"/>
              <w:jc w:val="center"/>
            </w:pPr>
            <w:r>
              <w:t>2019</w:t>
            </w:r>
          </w:p>
        </w:tc>
        <w:tc>
          <w:tcPr>
            <w:tcW w:w="1106" w:type="dxa"/>
          </w:tcPr>
          <w:p w:rsidR="00ED7E63" w:rsidRDefault="00ED7E63" w:rsidP="00ED7E63">
            <w:pPr>
              <w:pStyle w:val="Default"/>
              <w:jc w:val="center"/>
            </w:pPr>
            <w:r>
              <w:t>2020</w:t>
            </w:r>
          </w:p>
        </w:tc>
        <w:tc>
          <w:tcPr>
            <w:tcW w:w="1106" w:type="dxa"/>
          </w:tcPr>
          <w:p w:rsidR="00ED7E63" w:rsidRDefault="00ED7E63" w:rsidP="00ED7E63">
            <w:pPr>
              <w:pStyle w:val="Default"/>
              <w:jc w:val="center"/>
            </w:pPr>
            <w:r>
              <w:t>2021</w:t>
            </w:r>
          </w:p>
        </w:tc>
        <w:tc>
          <w:tcPr>
            <w:tcW w:w="1105" w:type="dxa"/>
          </w:tcPr>
          <w:p w:rsidR="00ED7E63" w:rsidRDefault="00ED7E63" w:rsidP="00ED7E63">
            <w:pPr>
              <w:pStyle w:val="Default"/>
              <w:jc w:val="center"/>
            </w:pPr>
            <w:r>
              <w:t>2019</w:t>
            </w:r>
          </w:p>
        </w:tc>
        <w:tc>
          <w:tcPr>
            <w:tcW w:w="1106" w:type="dxa"/>
          </w:tcPr>
          <w:p w:rsidR="00ED7E63" w:rsidRDefault="00ED7E63" w:rsidP="00ED7E63">
            <w:pPr>
              <w:pStyle w:val="Default"/>
              <w:jc w:val="center"/>
            </w:pPr>
            <w:r>
              <w:t>2020</w:t>
            </w:r>
          </w:p>
        </w:tc>
        <w:tc>
          <w:tcPr>
            <w:tcW w:w="1106" w:type="dxa"/>
          </w:tcPr>
          <w:p w:rsidR="00ED7E63" w:rsidRDefault="00ED7E63" w:rsidP="00ED7E63">
            <w:pPr>
              <w:pStyle w:val="Default"/>
              <w:jc w:val="center"/>
            </w:pPr>
            <w:r>
              <w:t>2021</w:t>
            </w:r>
          </w:p>
        </w:tc>
      </w:tr>
      <w:tr w:rsidR="00ED7E63" w:rsidTr="00ED7E63">
        <w:tc>
          <w:tcPr>
            <w:tcW w:w="935" w:type="dxa"/>
          </w:tcPr>
          <w:p w:rsidR="00ED7E63" w:rsidRDefault="00F26BFB" w:rsidP="00ED7E63">
            <w:pPr>
              <w:pStyle w:val="Default"/>
              <w:jc w:val="center"/>
            </w:pPr>
            <w:r>
              <w:t>2</w:t>
            </w:r>
          </w:p>
        </w:tc>
        <w:tc>
          <w:tcPr>
            <w:tcW w:w="1112" w:type="dxa"/>
          </w:tcPr>
          <w:p w:rsidR="00ED7E63" w:rsidRDefault="007C5675" w:rsidP="00ED7E63">
            <w:pPr>
              <w:pStyle w:val="Default"/>
              <w:jc w:val="center"/>
            </w:pPr>
            <w:r>
              <w:t>100</w:t>
            </w:r>
          </w:p>
        </w:tc>
        <w:tc>
          <w:tcPr>
            <w:tcW w:w="1112" w:type="dxa"/>
          </w:tcPr>
          <w:p w:rsidR="00ED7E63" w:rsidRDefault="007C5675" w:rsidP="00ED7E63">
            <w:pPr>
              <w:pStyle w:val="Default"/>
              <w:jc w:val="center"/>
            </w:pPr>
            <w:r>
              <w:t>100</w:t>
            </w:r>
          </w:p>
        </w:tc>
        <w:tc>
          <w:tcPr>
            <w:tcW w:w="1112" w:type="dxa"/>
          </w:tcPr>
          <w:p w:rsidR="00ED7E63" w:rsidRDefault="007C5675" w:rsidP="00ED7E63">
            <w:pPr>
              <w:pStyle w:val="Default"/>
              <w:jc w:val="center"/>
            </w:pPr>
            <w:r>
              <w:t>100</w:t>
            </w:r>
          </w:p>
        </w:tc>
        <w:tc>
          <w:tcPr>
            <w:tcW w:w="1105" w:type="dxa"/>
          </w:tcPr>
          <w:p w:rsidR="00ED7E63" w:rsidRDefault="00AB6824" w:rsidP="00ED7E63">
            <w:pPr>
              <w:pStyle w:val="Default"/>
              <w:jc w:val="center"/>
            </w:pPr>
            <w:r>
              <w:t>8</w:t>
            </w:r>
            <w:r w:rsidR="007C5675">
              <w:t>5</w:t>
            </w:r>
          </w:p>
        </w:tc>
        <w:tc>
          <w:tcPr>
            <w:tcW w:w="1106" w:type="dxa"/>
          </w:tcPr>
          <w:p w:rsidR="00ED7E63" w:rsidRDefault="00AB6824" w:rsidP="00ED7E63">
            <w:pPr>
              <w:pStyle w:val="Default"/>
              <w:jc w:val="center"/>
            </w:pPr>
            <w:r>
              <w:t>58</w:t>
            </w:r>
          </w:p>
        </w:tc>
        <w:tc>
          <w:tcPr>
            <w:tcW w:w="1106" w:type="dxa"/>
          </w:tcPr>
          <w:p w:rsidR="00ED7E63" w:rsidRDefault="00AB6824" w:rsidP="00ED7E63">
            <w:pPr>
              <w:pStyle w:val="Default"/>
              <w:jc w:val="center"/>
            </w:pPr>
            <w:r>
              <w:t>67</w:t>
            </w:r>
          </w:p>
        </w:tc>
        <w:tc>
          <w:tcPr>
            <w:tcW w:w="1105" w:type="dxa"/>
          </w:tcPr>
          <w:p w:rsidR="00ED7E63" w:rsidRDefault="007C5675" w:rsidP="00ED7E63">
            <w:pPr>
              <w:pStyle w:val="Default"/>
              <w:jc w:val="center"/>
            </w:pPr>
            <w:r>
              <w:t>0</w:t>
            </w:r>
          </w:p>
        </w:tc>
        <w:tc>
          <w:tcPr>
            <w:tcW w:w="1106" w:type="dxa"/>
          </w:tcPr>
          <w:p w:rsidR="00ED7E63" w:rsidRDefault="007C5675" w:rsidP="00ED7E63">
            <w:pPr>
              <w:pStyle w:val="Default"/>
              <w:jc w:val="center"/>
            </w:pPr>
            <w:r>
              <w:t>20</w:t>
            </w:r>
          </w:p>
        </w:tc>
        <w:tc>
          <w:tcPr>
            <w:tcW w:w="1106" w:type="dxa"/>
          </w:tcPr>
          <w:p w:rsidR="00ED7E63" w:rsidRDefault="007C5675" w:rsidP="00ED7E63">
            <w:pPr>
              <w:pStyle w:val="Default"/>
              <w:jc w:val="center"/>
            </w:pPr>
            <w:r>
              <w:t>0</w:t>
            </w:r>
          </w:p>
        </w:tc>
      </w:tr>
      <w:tr w:rsidR="007C5675" w:rsidTr="00ED7E63">
        <w:tc>
          <w:tcPr>
            <w:tcW w:w="935" w:type="dxa"/>
          </w:tcPr>
          <w:p w:rsidR="007C5675" w:rsidRDefault="007C5675" w:rsidP="007C5675">
            <w:pPr>
              <w:pStyle w:val="Default"/>
              <w:jc w:val="center"/>
            </w:pPr>
            <w:r>
              <w:t>3</w:t>
            </w:r>
          </w:p>
        </w:tc>
        <w:tc>
          <w:tcPr>
            <w:tcW w:w="1112" w:type="dxa"/>
          </w:tcPr>
          <w:p w:rsidR="007C5675" w:rsidRDefault="007C5675" w:rsidP="007C5675">
            <w:pPr>
              <w:jc w:val="center"/>
            </w:pPr>
            <w:r w:rsidRPr="001109AF">
              <w:t>100</w:t>
            </w:r>
          </w:p>
        </w:tc>
        <w:tc>
          <w:tcPr>
            <w:tcW w:w="1112" w:type="dxa"/>
          </w:tcPr>
          <w:p w:rsidR="007C5675" w:rsidRDefault="007C5675" w:rsidP="007C5675">
            <w:pPr>
              <w:pStyle w:val="Default"/>
              <w:jc w:val="center"/>
            </w:pPr>
            <w:r>
              <w:t>80</w:t>
            </w:r>
          </w:p>
        </w:tc>
        <w:tc>
          <w:tcPr>
            <w:tcW w:w="1112" w:type="dxa"/>
          </w:tcPr>
          <w:p w:rsidR="007C5675" w:rsidRDefault="007C5675" w:rsidP="007C5675">
            <w:pPr>
              <w:pStyle w:val="Default"/>
              <w:jc w:val="center"/>
            </w:pPr>
            <w:r>
              <w:t>100</w:t>
            </w:r>
          </w:p>
        </w:tc>
        <w:tc>
          <w:tcPr>
            <w:tcW w:w="1105" w:type="dxa"/>
          </w:tcPr>
          <w:p w:rsidR="007C5675" w:rsidRDefault="00AB6824" w:rsidP="007C5675">
            <w:pPr>
              <w:pStyle w:val="Default"/>
              <w:jc w:val="center"/>
            </w:pPr>
            <w:r>
              <w:t>65</w:t>
            </w:r>
          </w:p>
        </w:tc>
        <w:tc>
          <w:tcPr>
            <w:tcW w:w="1106" w:type="dxa"/>
          </w:tcPr>
          <w:p w:rsidR="007C5675" w:rsidRDefault="00AB6824" w:rsidP="00AB6824">
            <w:pPr>
              <w:pStyle w:val="Default"/>
              <w:jc w:val="center"/>
            </w:pPr>
            <w:r>
              <w:t>65</w:t>
            </w:r>
          </w:p>
        </w:tc>
        <w:tc>
          <w:tcPr>
            <w:tcW w:w="1106" w:type="dxa"/>
          </w:tcPr>
          <w:p w:rsidR="007C5675" w:rsidRDefault="00AB6824" w:rsidP="007C5675">
            <w:pPr>
              <w:pStyle w:val="Default"/>
              <w:jc w:val="center"/>
            </w:pPr>
            <w:r>
              <w:t>70</w:t>
            </w:r>
          </w:p>
        </w:tc>
        <w:tc>
          <w:tcPr>
            <w:tcW w:w="1105"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r w:rsidR="007C5675" w:rsidTr="00ED7E63">
        <w:tc>
          <w:tcPr>
            <w:tcW w:w="935" w:type="dxa"/>
          </w:tcPr>
          <w:p w:rsidR="007C5675" w:rsidRDefault="007C5675" w:rsidP="007C5675">
            <w:pPr>
              <w:pStyle w:val="Default"/>
              <w:jc w:val="center"/>
            </w:pPr>
            <w:r>
              <w:t>4</w:t>
            </w:r>
          </w:p>
        </w:tc>
        <w:tc>
          <w:tcPr>
            <w:tcW w:w="1112" w:type="dxa"/>
          </w:tcPr>
          <w:p w:rsidR="007C5675" w:rsidRDefault="007C5675" w:rsidP="007C5675">
            <w:pPr>
              <w:jc w:val="center"/>
            </w:pPr>
            <w:r w:rsidRPr="001109AF">
              <w:t>100</w:t>
            </w:r>
          </w:p>
        </w:tc>
        <w:tc>
          <w:tcPr>
            <w:tcW w:w="1112" w:type="dxa"/>
          </w:tcPr>
          <w:p w:rsidR="007C5675" w:rsidRDefault="007C5675" w:rsidP="007C5675">
            <w:pPr>
              <w:pStyle w:val="Default"/>
              <w:jc w:val="center"/>
            </w:pPr>
            <w:r>
              <w:t>100</w:t>
            </w:r>
          </w:p>
        </w:tc>
        <w:tc>
          <w:tcPr>
            <w:tcW w:w="1112" w:type="dxa"/>
          </w:tcPr>
          <w:p w:rsidR="007C5675" w:rsidRDefault="007C5675" w:rsidP="007C5675">
            <w:pPr>
              <w:pStyle w:val="Default"/>
              <w:jc w:val="center"/>
            </w:pPr>
            <w:r>
              <w:t>100</w:t>
            </w:r>
          </w:p>
        </w:tc>
        <w:tc>
          <w:tcPr>
            <w:tcW w:w="1105" w:type="dxa"/>
          </w:tcPr>
          <w:p w:rsidR="007C5675" w:rsidRDefault="00AB6824" w:rsidP="007C5675">
            <w:pPr>
              <w:pStyle w:val="Default"/>
              <w:jc w:val="center"/>
            </w:pPr>
            <w:r>
              <w:t>60</w:t>
            </w:r>
          </w:p>
        </w:tc>
        <w:tc>
          <w:tcPr>
            <w:tcW w:w="1106" w:type="dxa"/>
          </w:tcPr>
          <w:p w:rsidR="007C5675" w:rsidRDefault="007C5675" w:rsidP="007C5675">
            <w:pPr>
              <w:pStyle w:val="Default"/>
              <w:jc w:val="center"/>
            </w:pPr>
            <w:r>
              <w:t>75</w:t>
            </w:r>
          </w:p>
        </w:tc>
        <w:tc>
          <w:tcPr>
            <w:tcW w:w="1106" w:type="dxa"/>
          </w:tcPr>
          <w:p w:rsidR="007C5675" w:rsidRDefault="007C5675" w:rsidP="007C5675">
            <w:pPr>
              <w:pStyle w:val="Default"/>
              <w:jc w:val="center"/>
            </w:pPr>
            <w:r>
              <w:t>6</w:t>
            </w:r>
            <w:r w:rsidR="00AB6824">
              <w:t>5</w:t>
            </w:r>
          </w:p>
        </w:tc>
        <w:tc>
          <w:tcPr>
            <w:tcW w:w="1105"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r w:rsidR="007C5675" w:rsidTr="00ED7E63">
        <w:tc>
          <w:tcPr>
            <w:tcW w:w="935" w:type="dxa"/>
          </w:tcPr>
          <w:p w:rsidR="007C5675" w:rsidRDefault="007C5675" w:rsidP="007C5675">
            <w:pPr>
              <w:pStyle w:val="Default"/>
              <w:jc w:val="center"/>
            </w:pPr>
            <w:r>
              <w:t>5</w:t>
            </w:r>
          </w:p>
        </w:tc>
        <w:tc>
          <w:tcPr>
            <w:tcW w:w="1112" w:type="dxa"/>
          </w:tcPr>
          <w:p w:rsidR="007C5675" w:rsidRDefault="007C5675" w:rsidP="007C5675">
            <w:pPr>
              <w:jc w:val="center"/>
            </w:pPr>
            <w:r w:rsidRPr="001109AF">
              <w:t>100</w:t>
            </w:r>
          </w:p>
        </w:tc>
        <w:tc>
          <w:tcPr>
            <w:tcW w:w="1112" w:type="dxa"/>
          </w:tcPr>
          <w:p w:rsidR="007C5675" w:rsidRDefault="007C5675" w:rsidP="007C5675">
            <w:pPr>
              <w:pStyle w:val="Default"/>
              <w:jc w:val="center"/>
            </w:pPr>
            <w:r>
              <w:t>100</w:t>
            </w:r>
          </w:p>
        </w:tc>
        <w:tc>
          <w:tcPr>
            <w:tcW w:w="1112" w:type="dxa"/>
          </w:tcPr>
          <w:p w:rsidR="007C5675" w:rsidRDefault="007C5675" w:rsidP="007C5675">
            <w:pPr>
              <w:pStyle w:val="Default"/>
              <w:jc w:val="center"/>
            </w:pPr>
            <w:r>
              <w:t>100</w:t>
            </w:r>
          </w:p>
        </w:tc>
        <w:tc>
          <w:tcPr>
            <w:tcW w:w="1105" w:type="dxa"/>
          </w:tcPr>
          <w:p w:rsidR="007C5675" w:rsidRDefault="007C5675" w:rsidP="007C5675">
            <w:pPr>
              <w:pStyle w:val="Default"/>
              <w:jc w:val="center"/>
            </w:pPr>
            <w:r>
              <w:t>55</w:t>
            </w:r>
          </w:p>
        </w:tc>
        <w:tc>
          <w:tcPr>
            <w:tcW w:w="1106" w:type="dxa"/>
          </w:tcPr>
          <w:p w:rsidR="007C5675" w:rsidRDefault="007C5675" w:rsidP="007C5675">
            <w:pPr>
              <w:pStyle w:val="Default"/>
              <w:jc w:val="center"/>
            </w:pPr>
            <w:r>
              <w:t>55</w:t>
            </w:r>
          </w:p>
        </w:tc>
        <w:tc>
          <w:tcPr>
            <w:tcW w:w="1106" w:type="dxa"/>
          </w:tcPr>
          <w:p w:rsidR="007C5675" w:rsidRDefault="007C5675" w:rsidP="007C5675">
            <w:pPr>
              <w:pStyle w:val="Default"/>
              <w:jc w:val="center"/>
            </w:pPr>
            <w:r>
              <w:t>75</w:t>
            </w:r>
          </w:p>
        </w:tc>
        <w:tc>
          <w:tcPr>
            <w:tcW w:w="1105"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r w:rsidR="007C5675" w:rsidTr="00ED7E63">
        <w:tc>
          <w:tcPr>
            <w:tcW w:w="935" w:type="dxa"/>
          </w:tcPr>
          <w:p w:rsidR="007C5675" w:rsidRDefault="007C5675" w:rsidP="007C5675">
            <w:pPr>
              <w:pStyle w:val="Default"/>
              <w:jc w:val="center"/>
            </w:pPr>
            <w:r>
              <w:t>6</w:t>
            </w:r>
          </w:p>
        </w:tc>
        <w:tc>
          <w:tcPr>
            <w:tcW w:w="1112" w:type="dxa"/>
          </w:tcPr>
          <w:p w:rsidR="007C5675" w:rsidRDefault="007C5675" w:rsidP="007C5675">
            <w:pPr>
              <w:jc w:val="center"/>
            </w:pPr>
            <w:r w:rsidRPr="001109AF">
              <w:t>100</w:t>
            </w:r>
          </w:p>
        </w:tc>
        <w:tc>
          <w:tcPr>
            <w:tcW w:w="1112" w:type="dxa"/>
          </w:tcPr>
          <w:p w:rsidR="007C5675" w:rsidRDefault="007C5675" w:rsidP="007C5675">
            <w:pPr>
              <w:pStyle w:val="Default"/>
              <w:jc w:val="center"/>
            </w:pPr>
            <w:r>
              <w:t>100</w:t>
            </w:r>
          </w:p>
        </w:tc>
        <w:tc>
          <w:tcPr>
            <w:tcW w:w="1112" w:type="dxa"/>
          </w:tcPr>
          <w:p w:rsidR="007C5675" w:rsidRDefault="007C5675" w:rsidP="007C5675">
            <w:pPr>
              <w:pStyle w:val="Default"/>
              <w:jc w:val="center"/>
            </w:pPr>
            <w:r>
              <w:t>100</w:t>
            </w:r>
          </w:p>
        </w:tc>
        <w:tc>
          <w:tcPr>
            <w:tcW w:w="1105" w:type="dxa"/>
          </w:tcPr>
          <w:p w:rsidR="007C5675" w:rsidRDefault="007C5675" w:rsidP="007C5675">
            <w:pPr>
              <w:pStyle w:val="Default"/>
              <w:jc w:val="center"/>
            </w:pPr>
            <w:r>
              <w:t>33,3</w:t>
            </w:r>
          </w:p>
        </w:tc>
        <w:tc>
          <w:tcPr>
            <w:tcW w:w="1106" w:type="dxa"/>
          </w:tcPr>
          <w:p w:rsidR="007C5675" w:rsidRDefault="007C5675" w:rsidP="007C5675">
            <w:pPr>
              <w:pStyle w:val="Default"/>
              <w:jc w:val="center"/>
            </w:pPr>
            <w:r>
              <w:t>60</w:t>
            </w:r>
          </w:p>
        </w:tc>
        <w:tc>
          <w:tcPr>
            <w:tcW w:w="1106" w:type="dxa"/>
          </w:tcPr>
          <w:p w:rsidR="007C5675" w:rsidRDefault="007C5675" w:rsidP="007C5675">
            <w:pPr>
              <w:pStyle w:val="Default"/>
              <w:jc w:val="center"/>
            </w:pPr>
            <w:r>
              <w:t>50</w:t>
            </w:r>
          </w:p>
        </w:tc>
        <w:tc>
          <w:tcPr>
            <w:tcW w:w="1105"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r w:rsidR="007C5675" w:rsidTr="00ED7E63">
        <w:tc>
          <w:tcPr>
            <w:tcW w:w="935" w:type="dxa"/>
          </w:tcPr>
          <w:p w:rsidR="007C5675" w:rsidRDefault="007C5675" w:rsidP="007C5675">
            <w:pPr>
              <w:pStyle w:val="Default"/>
              <w:jc w:val="center"/>
            </w:pPr>
            <w:r>
              <w:t>7</w:t>
            </w:r>
          </w:p>
        </w:tc>
        <w:tc>
          <w:tcPr>
            <w:tcW w:w="1112" w:type="dxa"/>
          </w:tcPr>
          <w:p w:rsidR="007C5675" w:rsidRDefault="007C5675" w:rsidP="007C5675">
            <w:pPr>
              <w:jc w:val="center"/>
            </w:pPr>
            <w:r>
              <w:t>86</w:t>
            </w:r>
          </w:p>
        </w:tc>
        <w:tc>
          <w:tcPr>
            <w:tcW w:w="1112" w:type="dxa"/>
          </w:tcPr>
          <w:p w:rsidR="007C5675" w:rsidRDefault="007C5675" w:rsidP="007C5675">
            <w:pPr>
              <w:pStyle w:val="Default"/>
              <w:jc w:val="center"/>
            </w:pPr>
            <w:r>
              <w:t>100</w:t>
            </w:r>
          </w:p>
        </w:tc>
        <w:tc>
          <w:tcPr>
            <w:tcW w:w="1112" w:type="dxa"/>
          </w:tcPr>
          <w:p w:rsidR="007C5675" w:rsidRDefault="007C5675" w:rsidP="007C5675">
            <w:pPr>
              <w:pStyle w:val="Default"/>
              <w:jc w:val="center"/>
            </w:pPr>
            <w:r>
              <w:t>100</w:t>
            </w:r>
          </w:p>
        </w:tc>
        <w:tc>
          <w:tcPr>
            <w:tcW w:w="1105" w:type="dxa"/>
          </w:tcPr>
          <w:p w:rsidR="007C5675" w:rsidRDefault="007C5675" w:rsidP="007C5675">
            <w:pPr>
              <w:pStyle w:val="Default"/>
              <w:jc w:val="center"/>
            </w:pPr>
            <w:r>
              <w:t>29</w:t>
            </w:r>
          </w:p>
        </w:tc>
        <w:tc>
          <w:tcPr>
            <w:tcW w:w="1106" w:type="dxa"/>
          </w:tcPr>
          <w:p w:rsidR="007C5675" w:rsidRDefault="007C5675" w:rsidP="007C5675">
            <w:pPr>
              <w:pStyle w:val="Default"/>
              <w:jc w:val="center"/>
            </w:pPr>
            <w:r>
              <w:t>33,3</w:t>
            </w:r>
          </w:p>
        </w:tc>
        <w:tc>
          <w:tcPr>
            <w:tcW w:w="1106" w:type="dxa"/>
          </w:tcPr>
          <w:p w:rsidR="007C5675" w:rsidRDefault="007C5675" w:rsidP="007C5675">
            <w:pPr>
              <w:pStyle w:val="Default"/>
              <w:jc w:val="center"/>
            </w:pPr>
            <w:r>
              <w:t>55</w:t>
            </w:r>
          </w:p>
        </w:tc>
        <w:tc>
          <w:tcPr>
            <w:tcW w:w="1105" w:type="dxa"/>
          </w:tcPr>
          <w:p w:rsidR="007C5675" w:rsidRDefault="007C5675" w:rsidP="007C5675">
            <w:pPr>
              <w:pStyle w:val="Default"/>
              <w:jc w:val="center"/>
            </w:pPr>
            <w:r>
              <w:t>14</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r w:rsidR="007C5675" w:rsidTr="00ED7E63">
        <w:tc>
          <w:tcPr>
            <w:tcW w:w="935" w:type="dxa"/>
          </w:tcPr>
          <w:p w:rsidR="007C5675" w:rsidRDefault="007C5675" w:rsidP="007C5675">
            <w:pPr>
              <w:pStyle w:val="Default"/>
              <w:jc w:val="center"/>
            </w:pPr>
            <w:r>
              <w:t>8</w:t>
            </w:r>
          </w:p>
        </w:tc>
        <w:tc>
          <w:tcPr>
            <w:tcW w:w="1112" w:type="dxa"/>
          </w:tcPr>
          <w:p w:rsidR="007C5675" w:rsidRDefault="007C5675" w:rsidP="007C5675">
            <w:pPr>
              <w:jc w:val="center"/>
            </w:pPr>
            <w:r w:rsidRPr="001109AF">
              <w:t>100</w:t>
            </w:r>
          </w:p>
        </w:tc>
        <w:tc>
          <w:tcPr>
            <w:tcW w:w="1112" w:type="dxa"/>
          </w:tcPr>
          <w:p w:rsidR="007C5675" w:rsidRDefault="007C5675" w:rsidP="007C5675">
            <w:pPr>
              <w:pStyle w:val="Default"/>
              <w:jc w:val="center"/>
            </w:pPr>
            <w:r>
              <w:t>100</w:t>
            </w:r>
          </w:p>
        </w:tc>
        <w:tc>
          <w:tcPr>
            <w:tcW w:w="1112" w:type="dxa"/>
          </w:tcPr>
          <w:p w:rsidR="007C5675" w:rsidRDefault="007C5675" w:rsidP="007C5675">
            <w:pPr>
              <w:pStyle w:val="Default"/>
              <w:jc w:val="center"/>
            </w:pPr>
            <w:r>
              <w:t>100</w:t>
            </w:r>
          </w:p>
        </w:tc>
        <w:tc>
          <w:tcPr>
            <w:tcW w:w="1105" w:type="dxa"/>
          </w:tcPr>
          <w:p w:rsidR="007C5675" w:rsidRDefault="007C5675" w:rsidP="007C5675">
            <w:pPr>
              <w:pStyle w:val="Default"/>
              <w:jc w:val="center"/>
            </w:pPr>
            <w:r>
              <w:t>50</w:t>
            </w:r>
          </w:p>
        </w:tc>
        <w:tc>
          <w:tcPr>
            <w:tcW w:w="1106" w:type="dxa"/>
          </w:tcPr>
          <w:p w:rsidR="007C5675" w:rsidRDefault="007C5675" w:rsidP="007C5675">
            <w:pPr>
              <w:pStyle w:val="Default"/>
              <w:jc w:val="center"/>
            </w:pPr>
            <w:r>
              <w:t>33,3</w:t>
            </w:r>
          </w:p>
        </w:tc>
        <w:tc>
          <w:tcPr>
            <w:tcW w:w="1106" w:type="dxa"/>
          </w:tcPr>
          <w:p w:rsidR="007C5675" w:rsidRDefault="007C5675" w:rsidP="007C5675">
            <w:pPr>
              <w:pStyle w:val="Default"/>
              <w:jc w:val="center"/>
            </w:pPr>
            <w:r>
              <w:t>33,3</w:t>
            </w:r>
          </w:p>
        </w:tc>
        <w:tc>
          <w:tcPr>
            <w:tcW w:w="1105"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r w:rsidR="007C5675" w:rsidTr="00ED7E63">
        <w:tc>
          <w:tcPr>
            <w:tcW w:w="935" w:type="dxa"/>
          </w:tcPr>
          <w:p w:rsidR="007C5675" w:rsidRDefault="007C5675" w:rsidP="007C5675">
            <w:pPr>
              <w:pStyle w:val="Default"/>
              <w:jc w:val="center"/>
            </w:pPr>
            <w:r>
              <w:t>9</w:t>
            </w:r>
          </w:p>
        </w:tc>
        <w:tc>
          <w:tcPr>
            <w:tcW w:w="1112" w:type="dxa"/>
          </w:tcPr>
          <w:p w:rsidR="007C5675" w:rsidRDefault="007C5675" w:rsidP="007C5675">
            <w:pPr>
              <w:jc w:val="center"/>
            </w:pPr>
            <w:r w:rsidRPr="001109AF">
              <w:t>100</w:t>
            </w:r>
          </w:p>
        </w:tc>
        <w:tc>
          <w:tcPr>
            <w:tcW w:w="1112" w:type="dxa"/>
          </w:tcPr>
          <w:p w:rsidR="007C5675" w:rsidRDefault="007C5675" w:rsidP="007C5675">
            <w:pPr>
              <w:pStyle w:val="Default"/>
              <w:jc w:val="center"/>
            </w:pPr>
            <w:r>
              <w:t>100</w:t>
            </w:r>
          </w:p>
        </w:tc>
        <w:tc>
          <w:tcPr>
            <w:tcW w:w="1112" w:type="dxa"/>
          </w:tcPr>
          <w:p w:rsidR="007C5675" w:rsidRDefault="007C5675" w:rsidP="007C5675">
            <w:pPr>
              <w:pStyle w:val="Default"/>
              <w:jc w:val="center"/>
            </w:pPr>
            <w:r>
              <w:t>100</w:t>
            </w:r>
          </w:p>
        </w:tc>
        <w:tc>
          <w:tcPr>
            <w:tcW w:w="1105" w:type="dxa"/>
          </w:tcPr>
          <w:p w:rsidR="007C5675" w:rsidRDefault="007C5675" w:rsidP="007C5675">
            <w:pPr>
              <w:pStyle w:val="Default"/>
              <w:jc w:val="center"/>
            </w:pPr>
            <w:r>
              <w:t>40</w:t>
            </w:r>
          </w:p>
        </w:tc>
        <w:tc>
          <w:tcPr>
            <w:tcW w:w="1106" w:type="dxa"/>
          </w:tcPr>
          <w:p w:rsidR="007C5675" w:rsidRDefault="007C5675" w:rsidP="007C5675">
            <w:pPr>
              <w:pStyle w:val="Default"/>
              <w:jc w:val="center"/>
            </w:pPr>
            <w:r>
              <w:t>60</w:t>
            </w:r>
          </w:p>
        </w:tc>
        <w:tc>
          <w:tcPr>
            <w:tcW w:w="1106" w:type="dxa"/>
          </w:tcPr>
          <w:p w:rsidR="007C5675" w:rsidRDefault="007C5675" w:rsidP="007C5675">
            <w:pPr>
              <w:pStyle w:val="Default"/>
              <w:jc w:val="center"/>
            </w:pPr>
            <w:r>
              <w:t>34</w:t>
            </w:r>
          </w:p>
        </w:tc>
        <w:tc>
          <w:tcPr>
            <w:tcW w:w="1105"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r w:rsidR="007C5675" w:rsidTr="00ED7E63">
        <w:tc>
          <w:tcPr>
            <w:tcW w:w="935" w:type="dxa"/>
          </w:tcPr>
          <w:p w:rsidR="007C5675" w:rsidRDefault="007C5675" w:rsidP="007C5675">
            <w:pPr>
              <w:pStyle w:val="Default"/>
              <w:jc w:val="center"/>
            </w:pPr>
            <w:r>
              <w:t>10</w:t>
            </w:r>
          </w:p>
        </w:tc>
        <w:tc>
          <w:tcPr>
            <w:tcW w:w="1112" w:type="dxa"/>
          </w:tcPr>
          <w:p w:rsidR="007C5675" w:rsidRDefault="007C5675" w:rsidP="007C5675">
            <w:pPr>
              <w:jc w:val="center"/>
            </w:pPr>
            <w:r w:rsidRPr="001109AF">
              <w:t>100</w:t>
            </w:r>
          </w:p>
        </w:tc>
        <w:tc>
          <w:tcPr>
            <w:tcW w:w="1112" w:type="dxa"/>
          </w:tcPr>
          <w:p w:rsidR="007C5675" w:rsidRDefault="007C5675" w:rsidP="007C5675">
            <w:pPr>
              <w:pStyle w:val="Default"/>
              <w:jc w:val="center"/>
            </w:pPr>
            <w:r>
              <w:t>100</w:t>
            </w:r>
          </w:p>
        </w:tc>
        <w:tc>
          <w:tcPr>
            <w:tcW w:w="1112" w:type="dxa"/>
          </w:tcPr>
          <w:p w:rsidR="007C5675" w:rsidRDefault="007C5675" w:rsidP="007C5675">
            <w:pPr>
              <w:pStyle w:val="Default"/>
              <w:jc w:val="center"/>
            </w:pPr>
            <w:r>
              <w:t>100</w:t>
            </w:r>
          </w:p>
        </w:tc>
        <w:tc>
          <w:tcPr>
            <w:tcW w:w="1105" w:type="dxa"/>
          </w:tcPr>
          <w:p w:rsidR="007C5675" w:rsidRDefault="007C5675" w:rsidP="007C5675">
            <w:pPr>
              <w:pStyle w:val="Default"/>
              <w:jc w:val="center"/>
            </w:pPr>
            <w:r>
              <w:t>60</w:t>
            </w:r>
          </w:p>
        </w:tc>
        <w:tc>
          <w:tcPr>
            <w:tcW w:w="1106" w:type="dxa"/>
          </w:tcPr>
          <w:p w:rsidR="007C5675" w:rsidRDefault="007C5675" w:rsidP="007C5675">
            <w:pPr>
              <w:pStyle w:val="Default"/>
              <w:jc w:val="center"/>
            </w:pPr>
            <w:r>
              <w:t>25</w:t>
            </w:r>
          </w:p>
        </w:tc>
        <w:tc>
          <w:tcPr>
            <w:tcW w:w="1106" w:type="dxa"/>
          </w:tcPr>
          <w:p w:rsidR="007C5675" w:rsidRDefault="007C5675" w:rsidP="007C5675">
            <w:pPr>
              <w:pStyle w:val="Default"/>
              <w:jc w:val="center"/>
            </w:pPr>
            <w:r>
              <w:t>100</w:t>
            </w:r>
          </w:p>
        </w:tc>
        <w:tc>
          <w:tcPr>
            <w:tcW w:w="1105"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r w:rsidR="007C5675" w:rsidTr="00ED7E63">
        <w:tc>
          <w:tcPr>
            <w:tcW w:w="935" w:type="dxa"/>
          </w:tcPr>
          <w:p w:rsidR="007C5675" w:rsidRDefault="007C5675" w:rsidP="007C5675">
            <w:pPr>
              <w:pStyle w:val="Default"/>
              <w:jc w:val="center"/>
            </w:pPr>
            <w:r>
              <w:t>11</w:t>
            </w:r>
          </w:p>
        </w:tc>
        <w:tc>
          <w:tcPr>
            <w:tcW w:w="1112" w:type="dxa"/>
          </w:tcPr>
          <w:p w:rsidR="007C5675" w:rsidRDefault="007C5675" w:rsidP="007C5675">
            <w:pPr>
              <w:jc w:val="center"/>
            </w:pPr>
            <w:r w:rsidRPr="001109AF">
              <w:t>100</w:t>
            </w:r>
          </w:p>
        </w:tc>
        <w:tc>
          <w:tcPr>
            <w:tcW w:w="1112" w:type="dxa"/>
          </w:tcPr>
          <w:p w:rsidR="007C5675" w:rsidRDefault="007C5675" w:rsidP="007C5675">
            <w:pPr>
              <w:pStyle w:val="Default"/>
              <w:jc w:val="center"/>
            </w:pPr>
            <w:r>
              <w:t>100</w:t>
            </w:r>
          </w:p>
        </w:tc>
        <w:tc>
          <w:tcPr>
            <w:tcW w:w="1112" w:type="dxa"/>
          </w:tcPr>
          <w:p w:rsidR="007C5675" w:rsidRDefault="007C5675" w:rsidP="007C5675">
            <w:pPr>
              <w:pStyle w:val="Default"/>
              <w:jc w:val="center"/>
            </w:pPr>
            <w:r>
              <w:t>100</w:t>
            </w:r>
          </w:p>
        </w:tc>
        <w:tc>
          <w:tcPr>
            <w:tcW w:w="1105" w:type="dxa"/>
          </w:tcPr>
          <w:p w:rsidR="007C5675" w:rsidRDefault="007C5675" w:rsidP="007C5675">
            <w:pPr>
              <w:pStyle w:val="Default"/>
              <w:jc w:val="center"/>
            </w:pPr>
            <w:r>
              <w:t>100</w:t>
            </w:r>
          </w:p>
        </w:tc>
        <w:tc>
          <w:tcPr>
            <w:tcW w:w="1106" w:type="dxa"/>
          </w:tcPr>
          <w:p w:rsidR="007C5675" w:rsidRDefault="007C5675" w:rsidP="007C5675">
            <w:pPr>
              <w:pStyle w:val="Default"/>
              <w:jc w:val="center"/>
            </w:pPr>
            <w:r>
              <w:t>60</w:t>
            </w:r>
          </w:p>
        </w:tc>
        <w:tc>
          <w:tcPr>
            <w:tcW w:w="1106" w:type="dxa"/>
          </w:tcPr>
          <w:p w:rsidR="007C5675" w:rsidRDefault="007C5675" w:rsidP="007C5675">
            <w:pPr>
              <w:pStyle w:val="Default"/>
              <w:jc w:val="center"/>
            </w:pPr>
            <w:r>
              <w:t>33,3</w:t>
            </w:r>
          </w:p>
        </w:tc>
        <w:tc>
          <w:tcPr>
            <w:tcW w:w="1105"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c>
          <w:tcPr>
            <w:tcW w:w="1106" w:type="dxa"/>
          </w:tcPr>
          <w:p w:rsidR="007C5675" w:rsidRDefault="007C5675" w:rsidP="007C5675">
            <w:pPr>
              <w:pStyle w:val="Default"/>
              <w:jc w:val="center"/>
            </w:pPr>
            <w:r>
              <w:t>0</w:t>
            </w:r>
          </w:p>
        </w:tc>
      </w:tr>
    </w:tbl>
    <w:p w:rsidR="00ED7E63" w:rsidRDefault="00ED7E63" w:rsidP="00ED7E63">
      <w:pPr>
        <w:pStyle w:val="Default"/>
        <w:jc w:val="center"/>
      </w:pPr>
    </w:p>
    <w:p w:rsidR="00ED7E63" w:rsidRDefault="00F26BFB" w:rsidP="00F26BFB">
      <w:pPr>
        <w:pStyle w:val="Default"/>
        <w:jc w:val="center"/>
      </w:pPr>
      <w:r>
        <w:t>Показатели качества обучения по ступеням</w:t>
      </w:r>
    </w:p>
    <w:p w:rsidR="00F26BFB" w:rsidRDefault="00F26BFB" w:rsidP="00F26BFB">
      <w:pPr>
        <w:pStyle w:val="Default"/>
        <w:jc w:val="center"/>
      </w:pPr>
    </w:p>
    <w:tbl>
      <w:tblPr>
        <w:tblStyle w:val="a3"/>
        <w:tblW w:w="0" w:type="auto"/>
        <w:tblLook w:val="04A0" w:firstRow="1" w:lastRow="0" w:firstColumn="1" w:lastColumn="0" w:noHBand="0" w:noVBand="1"/>
      </w:tblPr>
      <w:tblGrid>
        <w:gridCol w:w="2726"/>
        <w:gridCol w:w="2726"/>
        <w:gridCol w:w="2726"/>
        <w:gridCol w:w="2727"/>
      </w:tblGrid>
      <w:tr w:rsidR="00F26BFB" w:rsidTr="00F26BFB">
        <w:tc>
          <w:tcPr>
            <w:tcW w:w="2726" w:type="dxa"/>
          </w:tcPr>
          <w:p w:rsidR="00F26BFB" w:rsidRDefault="00F26BFB" w:rsidP="00F26BFB">
            <w:pPr>
              <w:pStyle w:val="Default"/>
              <w:jc w:val="center"/>
            </w:pPr>
            <w:r>
              <w:t>Показатель</w:t>
            </w:r>
          </w:p>
        </w:tc>
        <w:tc>
          <w:tcPr>
            <w:tcW w:w="2726" w:type="dxa"/>
          </w:tcPr>
          <w:p w:rsidR="00F26BFB" w:rsidRDefault="00F26BFB" w:rsidP="00F26BFB">
            <w:pPr>
              <w:pStyle w:val="Default"/>
              <w:jc w:val="center"/>
            </w:pPr>
            <w:r>
              <w:t>2019</w:t>
            </w:r>
          </w:p>
        </w:tc>
        <w:tc>
          <w:tcPr>
            <w:tcW w:w="2726" w:type="dxa"/>
          </w:tcPr>
          <w:p w:rsidR="00F26BFB" w:rsidRDefault="00F26BFB" w:rsidP="00F26BFB">
            <w:pPr>
              <w:pStyle w:val="Default"/>
              <w:jc w:val="center"/>
            </w:pPr>
            <w:r>
              <w:t>2020</w:t>
            </w:r>
          </w:p>
        </w:tc>
        <w:tc>
          <w:tcPr>
            <w:tcW w:w="2727" w:type="dxa"/>
          </w:tcPr>
          <w:p w:rsidR="00F26BFB" w:rsidRDefault="00F26BFB" w:rsidP="00F26BFB">
            <w:pPr>
              <w:pStyle w:val="Default"/>
              <w:jc w:val="center"/>
            </w:pPr>
            <w:r>
              <w:t>2021</w:t>
            </w:r>
          </w:p>
        </w:tc>
      </w:tr>
      <w:tr w:rsidR="00F26BFB" w:rsidTr="00AB6824">
        <w:tc>
          <w:tcPr>
            <w:tcW w:w="2726" w:type="dxa"/>
          </w:tcPr>
          <w:p w:rsidR="00F26BFB" w:rsidRDefault="00F26BFB" w:rsidP="00F26BFB">
            <w:pPr>
              <w:pStyle w:val="Default"/>
              <w:jc w:val="center"/>
            </w:pPr>
            <w:r>
              <w:t xml:space="preserve">Доля окончивших на «4» и «5» </w:t>
            </w:r>
            <w:r>
              <w:t>1-</w:t>
            </w:r>
            <w:r>
              <w:t>4 класс</w:t>
            </w:r>
            <w:r w:rsidR="00AB6824">
              <w:t xml:space="preserve"> %</w:t>
            </w:r>
          </w:p>
        </w:tc>
        <w:tc>
          <w:tcPr>
            <w:tcW w:w="2726" w:type="dxa"/>
            <w:vAlign w:val="center"/>
          </w:tcPr>
          <w:p w:rsidR="00F26BFB" w:rsidRDefault="00AB6824" w:rsidP="00AB6824">
            <w:pPr>
              <w:pStyle w:val="Default"/>
              <w:jc w:val="center"/>
            </w:pPr>
            <w:r>
              <w:t>70%</w:t>
            </w:r>
          </w:p>
        </w:tc>
        <w:tc>
          <w:tcPr>
            <w:tcW w:w="2726" w:type="dxa"/>
            <w:vAlign w:val="center"/>
          </w:tcPr>
          <w:p w:rsidR="00F26BFB" w:rsidRDefault="00AB6824" w:rsidP="00AB6824">
            <w:pPr>
              <w:pStyle w:val="Default"/>
              <w:jc w:val="center"/>
            </w:pPr>
            <w:r>
              <w:t>66%</w:t>
            </w:r>
          </w:p>
        </w:tc>
        <w:tc>
          <w:tcPr>
            <w:tcW w:w="2727" w:type="dxa"/>
            <w:vAlign w:val="center"/>
          </w:tcPr>
          <w:p w:rsidR="00F26BFB" w:rsidRDefault="00AB6824" w:rsidP="00AB6824">
            <w:pPr>
              <w:pStyle w:val="Default"/>
              <w:jc w:val="center"/>
            </w:pPr>
            <w:r>
              <w:t>67%</w:t>
            </w:r>
          </w:p>
        </w:tc>
      </w:tr>
      <w:tr w:rsidR="00F26BFB" w:rsidTr="00AB6824">
        <w:tc>
          <w:tcPr>
            <w:tcW w:w="2726" w:type="dxa"/>
          </w:tcPr>
          <w:p w:rsidR="00F26BFB" w:rsidRDefault="00F26BFB" w:rsidP="00F26BFB">
            <w:pPr>
              <w:pStyle w:val="Default"/>
              <w:jc w:val="center"/>
            </w:pPr>
            <w:r>
              <w:t xml:space="preserve">Доля окончивших на «4» и «5» </w:t>
            </w:r>
            <w:r>
              <w:t>5-9</w:t>
            </w:r>
            <w:r>
              <w:t xml:space="preserve"> класс</w:t>
            </w:r>
            <w:r w:rsidR="00AB6824">
              <w:t xml:space="preserve"> %</w:t>
            </w:r>
          </w:p>
        </w:tc>
        <w:tc>
          <w:tcPr>
            <w:tcW w:w="2726" w:type="dxa"/>
            <w:vAlign w:val="center"/>
          </w:tcPr>
          <w:p w:rsidR="00F26BFB" w:rsidRDefault="00AB6824" w:rsidP="00AB6824">
            <w:pPr>
              <w:pStyle w:val="Default"/>
              <w:jc w:val="center"/>
            </w:pPr>
            <w:r>
              <w:t>41,4</w:t>
            </w:r>
          </w:p>
        </w:tc>
        <w:tc>
          <w:tcPr>
            <w:tcW w:w="2726" w:type="dxa"/>
            <w:vAlign w:val="center"/>
          </w:tcPr>
          <w:p w:rsidR="00F26BFB" w:rsidRDefault="00AB6824" w:rsidP="0082476B">
            <w:pPr>
              <w:pStyle w:val="Default"/>
              <w:jc w:val="center"/>
            </w:pPr>
            <w:r>
              <w:t>50,</w:t>
            </w:r>
            <w:r w:rsidR="0082476B">
              <w:t>0</w:t>
            </w:r>
            <w:r>
              <w:t>%</w:t>
            </w:r>
          </w:p>
        </w:tc>
        <w:tc>
          <w:tcPr>
            <w:tcW w:w="2727" w:type="dxa"/>
            <w:vAlign w:val="center"/>
          </w:tcPr>
          <w:p w:rsidR="00F26BFB" w:rsidRDefault="00AB6824" w:rsidP="00AB6824">
            <w:pPr>
              <w:pStyle w:val="Default"/>
              <w:jc w:val="center"/>
            </w:pPr>
            <w:r>
              <w:t>50%</w:t>
            </w:r>
          </w:p>
        </w:tc>
      </w:tr>
      <w:tr w:rsidR="00F26BFB" w:rsidTr="00AB6824">
        <w:tc>
          <w:tcPr>
            <w:tcW w:w="2726" w:type="dxa"/>
          </w:tcPr>
          <w:p w:rsidR="00F26BFB" w:rsidRDefault="00F26BFB" w:rsidP="00F26BFB">
            <w:pPr>
              <w:pStyle w:val="Default"/>
              <w:jc w:val="center"/>
            </w:pPr>
            <w:r>
              <w:t xml:space="preserve">Доля окончивших на «4» и «5» </w:t>
            </w:r>
            <w:r>
              <w:t>10-11</w:t>
            </w:r>
            <w:r>
              <w:t xml:space="preserve"> класс</w:t>
            </w:r>
            <w:r w:rsidR="00AB6824">
              <w:t xml:space="preserve"> %</w:t>
            </w:r>
          </w:p>
        </w:tc>
        <w:tc>
          <w:tcPr>
            <w:tcW w:w="2726" w:type="dxa"/>
            <w:vAlign w:val="center"/>
          </w:tcPr>
          <w:p w:rsidR="00F26BFB" w:rsidRDefault="00AB6824" w:rsidP="00AB6824">
            <w:pPr>
              <w:pStyle w:val="Default"/>
              <w:jc w:val="center"/>
            </w:pPr>
            <w:r>
              <w:t>80%</w:t>
            </w:r>
          </w:p>
        </w:tc>
        <w:tc>
          <w:tcPr>
            <w:tcW w:w="2726" w:type="dxa"/>
            <w:vAlign w:val="center"/>
          </w:tcPr>
          <w:p w:rsidR="00F26BFB" w:rsidRDefault="00AB6824" w:rsidP="00AB6824">
            <w:pPr>
              <w:pStyle w:val="Default"/>
              <w:jc w:val="center"/>
            </w:pPr>
            <w:r>
              <w:t>42,5%</w:t>
            </w:r>
          </w:p>
        </w:tc>
        <w:tc>
          <w:tcPr>
            <w:tcW w:w="2727" w:type="dxa"/>
            <w:vAlign w:val="center"/>
          </w:tcPr>
          <w:p w:rsidR="00F26BFB" w:rsidRDefault="00AB6824" w:rsidP="00AB6824">
            <w:pPr>
              <w:pStyle w:val="Default"/>
              <w:jc w:val="center"/>
            </w:pPr>
            <w:r>
              <w:t>67%</w:t>
            </w:r>
          </w:p>
        </w:tc>
      </w:tr>
      <w:tr w:rsidR="00F26BFB" w:rsidTr="00AB6824">
        <w:tc>
          <w:tcPr>
            <w:tcW w:w="2726" w:type="dxa"/>
          </w:tcPr>
          <w:p w:rsidR="00F26BFB" w:rsidRDefault="00F26BFB" w:rsidP="00F26BFB">
            <w:pPr>
              <w:pStyle w:val="Default"/>
              <w:jc w:val="center"/>
            </w:pPr>
            <w:r>
              <w:t>Доля учащихся, оставленных на повторное обучение</w:t>
            </w:r>
            <w:r w:rsidR="00AB6824">
              <w:t xml:space="preserve"> %</w:t>
            </w:r>
          </w:p>
        </w:tc>
        <w:tc>
          <w:tcPr>
            <w:tcW w:w="2726" w:type="dxa"/>
            <w:vAlign w:val="center"/>
          </w:tcPr>
          <w:p w:rsidR="00F26BFB" w:rsidRDefault="00AB6824" w:rsidP="00AB6824">
            <w:pPr>
              <w:pStyle w:val="Default"/>
              <w:jc w:val="center"/>
            </w:pPr>
            <w:r>
              <w:t>1,4</w:t>
            </w:r>
          </w:p>
        </w:tc>
        <w:tc>
          <w:tcPr>
            <w:tcW w:w="2726" w:type="dxa"/>
            <w:vAlign w:val="center"/>
          </w:tcPr>
          <w:p w:rsidR="00F26BFB" w:rsidRDefault="00AB6824" w:rsidP="00AB6824">
            <w:pPr>
              <w:pStyle w:val="Default"/>
              <w:jc w:val="center"/>
            </w:pPr>
            <w:r>
              <w:t>2,8%</w:t>
            </w:r>
          </w:p>
        </w:tc>
        <w:tc>
          <w:tcPr>
            <w:tcW w:w="2727" w:type="dxa"/>
            <w:vAlign w:val="center"/>
          </w:tcPr>
          <w:p w:rsidR="00F26BFB" w:rsidRDefault="00AB6824" w:rsidP="00AB6824">
            <w:pPr>
              <w:pStyle w:val="Default"/>
              <w:jc w:val="center"/>
            </w:pPr>
            <w:r>
              <w:t>0</w:t>
            </w:r>
          </w:p>
        </w:tc>
      </w:tr>
    </w:tbl>
    <w:p w:rsidR="00F26BFB" w:rsidRDefault="00F26BFB" w:rsidP="00F26BFB">
      <w:pPr>
        <w:pStyle w:val="Default"/>
        <w:jc w:val="center"/>
      </w:pPr>
    </w:p>
    <w:p w:rsidR="00ED7E63" w:rsidRDefault="00ED7E63" w:rsidP="00062B84">
      <w:pPr>
        <w:pStyle w:val="Default"/>
        <w:jc w:val="both"/>
      </w:pPr>
    </w:p>
    <w:p w:rsidR="00ED7E63" w:rsidRDefault="00F26BFB" w:rsidP="00F26BFB">
      <w:pPr>
        <w:pStyle w:val="Default"/>
        <w:jc w:val="center"/>
      </w:pPr>
      <w:r>
        <w:t>Сравнительные результаты ОГЭ по математике в 9 классе</w:t>
      </w:r>
    </w:p>
    <w:p w:rsidR="00F26BFB" w:rsidRDefault="00F26BFB" w:rsidP="00F26BFB">
      <w:pPr>
        <w:pStyle w:val="Default"/>
        <w:jc w:val="center"/>
      </w:pPr>
    </w:p>
    <w:tbl>
      <w:tblPr>
        <w:tblStyle w:val="a3"/>
        <w:tblW w:w="0" w:type="auto"/>
        <w:tblLook w:val="04A0" w:firstRow="1" w:lastRow="0" w:firstColumn="1" w:lastColumn="0" w:noHBand="0" w:noVBand="1"/>
      </w:tblPr>
      <w:tblGrid>
        <w:gridCol w:w="2726"/>
        <w:gridCol w:w="2726"/>
        <w:gridCol w:w="2726"/>
        <w:gridCol w:w="2727"/>
      </w:tblGrid>
      <w:tr w:rsidR="00F26BFB" w:rsidTr="00F26BFB">
        <w:tc>
          <w:tcPr>
            <w:tcW w:w="2726" w:type="dxa"/>
            <w:vAlign w:val="center"/>
          </w:tcPr>
          <w:p w:rsidR="00F26BFB" w:rsidRDefault="00F26BFB" w:rsidP="00F26BFB">
            <w:pPr>
              <w:pStyle w:val="Default"/>
              <w:jc w:val="center"/>
            </w:pPr>
            <w:r>
              <w:t>год</w:t>
            </w:r>
          </w:p>
        </w:tc>
        <w:tc>
          <w:tcPr>
            <w:tcW w:w="2726" w:type="dxa"/>
            <w:vAlign w:val="center"/>
          </w:tcPr>
          <w:p w:rsidR="00F26BFB" w:rsidRDefault="00F26BFB" w:rsidP="00F26BFB">
            <w:pPr>
              <w:pStyle w:val="Default"/>
              <w:jc w:val="center"/>
            </w:pPr>
            <w:r>
              <w:t>Средний балл</w:t>
            </w:r>
          </w:p>
        </w:tc>
        <w:tc>
          <w:tcPr>
            <w:tcW w:w="2726" w:type="dxa"/>
            <w:vAlign w:val="center"/>
          </w:tcPr>
          <w:p w:rsidR="00F26BFB" w:rsidRDefault="00F26BFB" w:rsidP="00F26BFB">
            <w:pPr>
              <w:pStyle w:val="Default"/>
              <w:jc w:val="center"/>
            </w:pPr>
            <w:r>
              <w:t>доля учащихся с неудовлетворительным результатом,%</w:t>
            </w:r>
          </w:p>
        </w:tc>
        <w:tc>
          <w:tcPr>
            <w:tcW w:w="2727" w:type="dxa"/>
            <w:vAlign w:val="center"/>
          </w:tcPr>
          <w:p w:rsidR="00F26BFB" w:rsidRDefault="00F26BFB" w:rsidP="00F26BFB">
            <w:pPr>
              <w:pStyle w:val="Default"/>
              <w:jc w:val="center"/>
            </w:pPr>
            <w:r>
              <w:t>доля учащихся с неудовлетворительным результатом после пересдачи, %</w:t>
            </w:r>
          </w:p>
        </w:tc>
      </w:tr>
      <w:tr w:rsidR="00F26BFB" w:rsidTr="00F26BFB">
        <w:tc>
          <w:tcPr>
            <w:tcW w:w="2726" w:type="dxa"/>
          </w:tcPr>
          <w:p w:rsidR="00F26BFB" w:rsidRDefault="00F26BFB" w:rsidP="00F26BFB">
            <w:pPr>
              <w:pStyle w:val="Default"/>
              <w:jc w:val="center"/>
            </w:pPr>
            <w:r>
              <w:t>2019</w:t>
            </w:r>
          </w:p>
        </w:tc>
        <w:tc>
          <w:tcPr>
            <w:tcW w:w="2726" w:type="dxa"/>
          </w:tcPr>
          <w:p w:rsidR="00F26BFB" w:rsidRDefault="00630C2E" w:rsidP="00F26BFB">
            <w:pPr>
              <w:pStyle w:val="Default"/>
              <w:jc w:val="center"/>
            </w:pPr>
            <w:r>
              <w:t>3,0</w:t>
            </w:r>
          </w:p>
        </w:tc>
        <w:tc>
          <w:tcPr>
            <w:tcW w:w="2726" w:type="dxa"/>
          </w:tcPr>
          <w:p w:rsidR="00F26BFB" w:rsidRDefault="00CB2D72" w:rsidP="00F26BFB">
            <w:pPr>
              <w:pStyle w:val="Default"/>
              <w:jc w:val="center"/>
            </w:pPr>
            <w:r>
              <w:t>25</w:t>
            </w:r>
          </w:p>
        </w:tc>
        <w:tc>
          <w:tcPr>
            <w:tcW w:w="2727" w:type="dxa"/>
          </w:tcPr>
          <w:p w:rsidR="00F26BFB" w:rsidRDefault="00CB2D72" w:rsidP="00F26BFB">
            <w:pPr>
              <w:pStyle w:val="Default"/>
              <w:jc w:val="center"/>
            </w:pPr>
            <w:r>
              <w:t>0</w:t>
            </w:r>
          </w:p>
        </w:tc>
      </w:tr>
      <w:tr w:rsidR="00F26BFB" w:rsidTr="00F26BFB">
        <w:tc>
          <w:tcPr>
            <w:tcW w:w="2726" w:type="dxa"/>
          </w:tcPr>
          <w:p w:rsidR="00F26BFB" w:rsidRDefault="00F26BFB" w:rsidP="00F26BFB">
            <w:pPr>
              <w:pStyle w:val="Default"/>
              <w:jc w:val="center"/>
            </w:pPr>
            <w:r>
              <w:t>2020</w:t>
            </w:r>
          </w:p>
        </w:tc>
        <w:tc>
          <w:tcPr>
            <w:tcW w:w="2726" w:type="dxa"/>
          </w:tcPr>
          <w:p w:rsidR="00F26BFB" w:rsidRDefault="00630C2E" w:rsidP="00F26BFB">
            <w:pPr>
              <w:pStyle w:val="Default"/>
              <w:jc w:val="center"/>
            </w:pPr>
            <w:r>
              <w:t>0</w:t>
            </w:r>
          </w:p>
        </w:tc>
        <w:tc>
          <w:tcPr>
            <w:tcW w:w="2726" w:type="dxa"/>
          </w:tcPr>
          <w:p w:rsidR="00F26BFB" w:rsidRDefault="00630C2E" w:rsidP="00F26BFB">
            <w:pPr>
              <w:pStyle w:val="Default"/>
              <w:jc w:val="center"/>
            </w:pPr>
            <w:r>
              <w:t>0</w:t>
            </w:r>
          </w:p>
        </w:tc>
        <w:tc>
          <w:tcPr>
            <w:tcW w:w="2727" w:type="dxa"/>
          </w:tcPr>
          <w:p w:rsidR="00F26BFB" w:rsidRDefault="00630C2E" w:rsidP="00F26BFB">
            <w:pPr>
              <w:pStyle w:val="Default"/>
              <w:jc w:val="center"/>
            </w:pPr>
            <w:r>
              <w:t>0</w:t>
            </w:r>
          </w:p>
        </w:tc>
      </w:tr>
      <w:tr w:rsidR="00F26BFB" w:rsidTr="00F26BFB">
        <w:tc>
          <w:tcPr>
            <w:tcW w:w="2726" w:type="dxa"/>
          </w:tcPr>
          <w:p w:rsidR="00F26BFB" w:rsidRDefault="00F26BFB" w:rsidP="00F26BFB">
            <w:pPr>
              <w:pStyle w:val="Default"/>
              <w:jc w:val="center"/>
            </w:pPr>
            <w:r>
              <w:t>2021</w:t>
            </w:r>
          </w:p>
        </w:tc>
        <w:tc>
          <w:tcPr>
            <w:tcW w:w="2726" w:type="dxa"/>
          </w:tcPr>
          <w:p w:rsidR="00F26BFB" w:rsidRDefault="00CB2D72" w:rsidP="00F26BFB">
            <w:pPr>
              <w:pStyle w:val="Default"/>
              <w:jc w:val="center"/>
            </w:pPr>
            <w:r>
              <w:t>3,2</w:t>
            </w:r>
          </w:p>
        </w:tc>
        <w:tc>
          <w:tcPr>
            <w:tcW w:w="2726" w:type="dxa"/>
          </w:tcPr>
          <w:p w:rsidR="00F26BFB" w:rsidRDefault="00630C2E" w:rsidP="00F26BFB">
            <w:pPr>
              <w:pStyle w:val="Default"/>
              <w:jc w:val="center"/>
            </w:pPr>
            <w:r>
              <w:t>50%</w:t>
            </w:r>
          </w:p>
        </w:tc>
        <w:tc>
          <w:tcPr>
            <w:tcW w:w="2727" w:type="dxa"/>
          </w:tcPr>
          <w:p w:rsidR="00F26BFB" w:rsidRDefault="00CB2D72" w:rsidP="00F26BFB">
            <w:pPr>
              <w:pStyle w:val="Default"/>
              <w:jc w:val="center"/>
            </w:pPr>
            <w:r>
              <w:t>0</w:t>
            </w:r>
          </w:p>
        </w:tc>
      </w:tr>
    </w:tbl>
    <w:p w:rsidR="00F26BFB" w:rsidRDefault="00F26BFB" w:rsidP="00F26BFB">
      <w:pPr>
        <w:pStyle w:val="Default"/>
        <w:jc w:val="center"/>
      </w:pPr>
    </w:p>
    <w:p w:rsidR="00F26BFB" w:rsidRDefault="00F26BFB" w:rsidP="00F26BFB">
      <w:pPr>
        <w:pStyle w:val="Default"/>
        <w:jc w:val="center"/>
      </w:pPr>
      <w:r>
        <w:t xml:space="preserve">Сравнительные результаты ОГЭ по </w:t>
      </w:r>
      <w:r>
        <w:t>русскому языку</w:t>
      </w:r>
      <w:r>
        <w:t xml:space="preserve"> в 9 классе</w:t>
      </w:r>
    </w:p>
    <w:p w:rsidR="00F26BFB" w:rsidRDefault="00F26BFB" w:rsidP="00F26BFB">
      <w:pPr>
        <w:pStyle w:val="Default"/>
        <w:jc w:val="center"/>
      </w:pPr>
    </w:p>
    <w:tbl>
      <w:tblPr>
        <w:tblStyle w:val="a3"/>
        <w:tblW w:w="0" w:type="auto"/>
        <w:tblLook w:val="04A0" w:firstRow="1" w:lastRow="0" w:firstColumn="1" w:lastColumn="0" w:noHBand="0" w:noVBand="1"/>
      </w:tblPr>
      <w:tblGrid>
        <w:gridCol w:w="2726"/>
        <w:gridCol w:w="2726"/>
        <w:gridCol w:w="2726"/>
        <w:gridCol w:w="2727"/>
      </w:tblGrid>
      <w:tr w:rsidR="00F26BFB" w:rsidTr="00F26BFB">
        <w:tc>
          <w:tcPr>
            <w:tcW w:w="2726" w:type="dxa"/>
            <w:vAlign w:val="center"/>
          </w:tcPr>
          <w:p w:rsidR="00F26BFB" w:rsidRDefault="00F26BFB" w:rsidP="00F26BFB">
            <w:pPr>
              <w:pStyle w:val="Default"/>
              <w:jc w:val="center"/>
            </w:pPr>
            <w:r>
              <w:t>год</w:t>
            </w:r>
          </w:p>
        </w:tc>
        <w:tc>
          <w:tcPr>
            <w:tcW w:w="2726" w:type="dxa"/>
            <w:vAlign w:val="center"/>
          </w:tcPr>
          <w:p w:rsidR="00F26BFB" w:rsidRDefault="00F26BFB" w:rsidP="00F26BFB">
            <w:pPr>
              <w:pStyle w:val="Default"/>
              <w:jc w:val="center"/>
            </w:pPr>
            <w:r>
              <w:t>Средний балл</w:t>
            </w:r>
          </w:p>
        </w:tc>
        <w:tc>
          <w:tcPr>
            <w:tcW w:w="2726" w:type="dxa"/>
            <w:vAlign w:val="center"/>
          </w:tcPr>
          <w:p w:rsidR="00F26BFB" w:rsidRDefault="00F26BFB" w:rsidP="00F26BFB">
            <w:pPr>
              <w:pStyle w:val="Default"/>
              <w:jc w:val="center"/>
            </w:pPr>
            <w:r>
              <w:t>доля учащихся с неудовлетворительным результатом,%</w:t>
            </w:r>
          </w:p>
        </w:tc>
        <w:tc>
          <w:tcPr>
            <w:tcW w:w="2727" w:type="dxa"/>
            <w:vAlign w:val="center"/>
          </w:tcPr>
          <w:p w:rsidR="00F26BFB" w:rsidRDefault="00F26BFB" w:rsidP="00F26BFB">
            <w:pPr>
              <w:pStyle w:val="Default"/>
              <w:jc w:val="center"/>
            </w:pPr>
            <w:r>
              <w:t>доля учащихся с неудовлетворительным результатом после пересдачи, %</w:t>
            </w:r>
          </w:p>
        </w:tc>
      </w:tr>
      <w:tr w:rsidR="00F26BFB" w:rsidTr="00EA18CA">
        <w:tc>
          <w:tcPr>
            <w:tcW w:w="2726" w:type="dxa"/>
          </w:tcPr>
          <w:p w:rsidR="00F26BFB" w:rsidRDefault="00F26BFB" w:rsidP="00EA18CA">
            <w:pPr>
              <w:pStyle w:val="Default"/>
              <w:jc w:val="center"/>
            </w:pPr>
            <w:r>
              <w:t>2019</w:t>
            </w:r>
          </w:p>
        </w:tc>
        <w:tc>
          <w:tcPr>
            <w:tcW w:w="2726" w:type="dxa"/>
          </w:tcPr>
          <w:p w:rsidR="00F26BFB" w:rsidRDefault="00CB2D72" w:rsidP="00EA18CA">
            <w:pPr>
              <w:pStyle w:val="Default"/>
              <w:jc w:val="center"/>
            </w:pPr>
            <w:r>
              <w:t>3,1</w:t>
            </w:r>
          </w:p>
        </w:tc>
        <w:tc>
          <w:tcPr>
            <w:tcW w:w="2726" w:type="dxa"/>
          </w:tcPr>
          <w:p w:rsidR="00F26BFB" w:rsidRDefault="00CB2D72" w:rsidP="00EA18CA">
            <w:pPr>
              <w:pStyle w:val="Default"/>
              <w:jc w:val="center"/>
            </w:pPr>
            <w:r>
              <w:t>25</w:t>
            </w:r>
          </w:p>
        </w:tc>
        <w:tc>
          <w:tcPr>
            <w:tcW w:w="2727" w:type="dxa"/>
          </w:tcPr>
          <w:p w:rsidR="00F26BFB" w:rsidRDefault="00CB2D72" w:rsidP="00EA18CA">
            <w:pPr>
              <w:pStyle w:val="Default"/>
              <w:jc w:val="center"/>
            </w:pPr>
            <w:r>
              <w:t>0</w:t>
            </w:r>
          </w:p>
        </w:tc>
      </w:tr>
      <w:tr w:rsidR="00F26BFB" w:rsidTr="00EA18CA">
        <w:tc>
          <w:tcPr>
            <w:tcW w:w="2726" w:type="dxa"/>
          </w:tcPr>
          <w:p w:rsidR="00F26BFB" w:rsidRDefault="00F26BFB" w:rsidP="00EA18CA">
            <w:pPr>
              <w:pStyle w:val="Default"/>
              <w:jc w:val="center"/>
            </w:pPr>
            <w:r>
              <w:t>2020</w:t>
            </w:r>
          </w:p>
        </w:tc>
        <w:tc>
          <w:tcPr>
            <w:tcW w:w="2726" w:type="dxa"/>
          </w:tcPr>
          <w:p w:rsidR="00F26BFB" w:rsidRDefault="00630C2E" w:rsidP="00EA18CA">
            <w:pPr>
              <w:pStyle w:val="Default"/>
              <w:jc w:val="center"/>
            </w:pPr>
            <w:r>
              <w:t>0</w:t>
            </w:r>
          </w:p>
        </w:tc>
        <w:tc>
          <w:tcPr>
            <w:tcW w:w="2726" w:type="dxa"/>
          </w:tcPr>
          <w:p w:rsidR="00F26BFB" w:rsidRDefault="00CB2D72" w:rsidP="00EA18CA">
            <w:pPr>
              <w:pStyle w:val="Default"/>
              <w:jc w:val="center"/>
            </w:pPr>
            <w:r>
              <w:t>0</w:t>
            </w:r>
          </w:p>
        </w:tc>
        <w:tc>
          <w:tcPr>
            <w:tcW w:w="2727" w:type="dxa"/>
          </w:tcPr>
          <w:p w:rsidR="00F26BFB" w:rsidRDefault="00CB2D72" w:rsidP="00EA18CA">
            <w:pPr>
              <w:pStyle w:val="Default"/>
              <w:jc w:val="center"/>
            </w:pPr>
            <w:r>
              <w:t>0</w:t>
            </w:r>
          </w:p>
        </w:tc>
      </w:tr>
      <w:tr w:rsidR="00F26BFB" w:rsidTr="00EA18CA">
        <w:tc>
          <w:tcPr>
            <w:tcW w:w="2726" w:type="dxa"/>
          </w:tcPr>
          <w:p w:rsidR="00F26BFB" w:rsidRDefault="00F26BFB" w:rsidP="00EA18CA">
            <w:pPr>
              <w:pStyle w:val="Default"/>
              <w:jc w:val="center"/>
            </w:pPr>
            <w:r>
              <w:t>2021</w:t>
            </w:r>
          </w:p>
        </w:tc>
        <w:tc>
          <w:tcPr>
            <w:tcW w:w="2726" w:type="dxa"/>
          </w:tcPr>
          <w:p w:rsidR="00F26BFB" w:rsidRDefault="00CB2D72" w:rsidP="00EA18CA">
            <w:pPr>
              <w:pStyle w:val="Default"/>
              <w:jc w:val="center"/>
            </w:pPr>
            <w:r>
              <w:t>3,2</w:t>
            </w:r>
          </w:p>
        </w:tc>
        <w:tc>
          <w:tcPr>
            <w:tcW w:w="2726" w:type="dxa"/>
          </w:tcPr>
          <w:p w:rsidR="00F26BFB" w:rsidRDefault="00CB2D72" w:rsidP="00EA18CA">
            <w:pPr>
              <w:pStyle w:val="Default"/>
              <w:jc w:val="center"/>
            </w:pPr>
            <w:r>
              <w:t>0</w:t>
            </w:r>
          </w:p>
        </w:tc>
        <w:tc>
          <w:tcPr>
            <w:tcW w:w="2727" w:type="dxa"/>
          </w:tcPr>
          <w:p w:rsidR="00F26BFB" w:rsidRDefault="00CB2D72" w:rsidP="00EA18CA">
            <w:pPr>
              <w:pStyle w:val="Default"/>
              <w:jc w:val="center"/>
            </w:pPr>
            <w:r>
              <w:t>0</w:t>
            </w:r>
          </w:p>
        </w:tc>
      </w:tr>
    </w:tbl>
    <w:p w:rsidR="00F26BFB" w:rsidRDefault="00F26BFB" w:rsidP="00F26BFB">
      <w:pPr>
        <w:pStyle w:val="Default"/>
        <w:jc w:val="center"/>
      </w:pPr>
    </w:p>
    <w:p w:rsidR="00F26BFB" w:rsidRDefault="00F26BFB" w:rsidP="00F26BFB">
      <w:pPr>
        <w:pStyle w:val="Default"/>
        <w:jc w:val="center"/>
      </w:pPr>
      <w:r>
        <w:t xml:space="preserve">Сравнительные результаты </w:t>
      </w:r>
      <w:r w:rsidR="00CB2D72">
        <w:t>Е</w:t>
      </w:r>
      <w:r>
        <w:t xml:space="preserve">ГЭ по математике в </w:t>
      </w:r>
      <w:r>
        <w:t>11</w:t>
      </w:r>
      <w:r>
        <w:t xml:space="preserve"> классе</w:t>
      </w:r>
    </w:p>
    <w:p w:rsidR="00F26BFB" w:rsidRDefault="00F26BFB" w:rsidP="00F26BFB">
      <w:pPr>
        <w:pStyle w:val="Default"/>
        <w:jc w:val="center"/>
      </w:pPr>
    </w:p>
    <w:tbl>
      <w:tblPr>
        <w:tblStyle w:val="a3"/>
        <w:tblW w:w="0" w:type="auto"/>
        <w:tblLook w:val="04A0" w:firstRow="1" w:lastRow="0" w:firstColumn="1" w:lastColumn="0" w:noHBand="0" w:noVBand="1"/>
      </w:tblPr>
      <w:tblGrid>
        <w:gridCol w:w="2726"/>
        <w:gridCol w:w="2726"/>
        <w:gridCol w:w="2726"/>
        <w:gridCol w:w="2727"/>
      </w:tblGrid>
      <w:tr w:rsidR="00F26BFB" w:rsidTr="00F26BFB">
        <w:tc>
          <w:tcPr>
            <w:tcW w:w="2726" w:type="dxa"/>
            <w:vAlign w:val="center"/>
          </w:tcPr>
          <w:p w:rsidR="00F26BFB" w:rsidRDefault="00F26BFB" w:rsidP="00F26BFB">
            <w:pPr>
              <w:pStyle w:val="Default"/>
              <w:jc w:val="center"/>
            </w:pPr>
            <w:r>
              <w:t>год</w:t>
            </w:r>
          </w:p>
        </w:tc>
        <w:tc>
          <w:tcPr>
            <w:tcW w:w="2726" w:type="dxa"/>
            <w:vAlign w:val="center"/>
          </w:tcPr>
          <w:p w:rsidR="00F26BFB" w:rsidRDefault="00F26BFB" w:rsidP="00F26BFB">
            <w:pPr>
              <w:pStyle w:val="Default"/>
              <w:jc w:val="center"/>
            </w:pPr>
            <w:r>
              <w:t>Средний балл</w:t>
            </w:r>
          </w:p>
        </w:tc>
        <w:tc>
          <w:tcPr>
            <w:tcW w:w="2726" w:type="dxa"/>
            <w:vAlign w:val="center"/>
          </w:tcPr>
          <w:p w:rsidR="00F26BFB" w:rsidRDefault="00F26BFB" w:rsidP="00F26BFB">
            <w:pPr>
              <w:pStyle w:val="Default"/>
              <w:jc w:val="center"/>
            </w:pPr>
            <w:r>
              <w:t>доля учащихся с неудовлетворительным результатом,%</w:t>
            </w:r>
          </w:p>
        </w:tc>
        <w:tc>
          <w:tcPr>
            <w:tcW w:w="2727" w:type="dxa"/>
            <w:vAlign w:val="center"/>
          </w:tcPr>
          <w:p w:rsidR="00F26BFB" w:rsidRDefault="00F26BFB" w:rsidP="00F26BFB">
            <w:pPr>
              <w:pStyle w:val="Default"/>
              <w:jc w:val="center"/>
            </w:pPr>
            <w:r>
              <w:t>доля учащихся с неудовлетворительным результатом после пересдачи, %</w:t>
            </w:r>
          </w:p>
        </w:tc>
      </w:tr>
      <w:tr w:rsidR="00F26BFB" w:rsidTr="00EA18CA">
        <w:tc>
          <w:tcPr>
            <w:tcW w:w="2726" w:type="dxa"/>
          </w:tcPr>
          <w:p w:rsidR="00F26BFB" w:rsidRDefault="00F26BFB" w:rsidP="00EA18CA">
            <w:pPr>
              <w:pStyle w:val="Default"/>
              <w:jc w:val="center"/>
            </w:pPr>
            <w:r>
              <w:t>2019</w:t>
            </w:r>
          </w:p>
        </w:tc>
        <w:tc>
          <w:tcPr>
            <w:tcW w:w="2726" w:type="dxa"/>
          </w:tcPr>
          <w:p w:rsidR="00F26BFB" w:rsidRDefault="00630C2E" w:rsidP="00EA18CA">
            <w:pPr>
              <w:pStyle w:val="Default"/>
              <w:jc w:val="center"/>
            </w:pPr>
            <w:r>
              <w:t>5</w:t>
            </w:r>
            <w:r w:rsidR="00CB2D72">
              <w:t xml:space="preserve"> (базовая)</w:t>
            </w:r>
          </w:p>
        </w:tc>
        <w:tc>
          <w:tcPr>
            <w:tcW w:w="2726" w:type="dxa"/>
          </w:tcPr>
          <w:p w:rsidR="00F26BFB" w:rsidRDefault="00630C2E" w:rsidP="00EA18CA">
            <w:pPr>
              <w:pStyle w:val="Default"/>
              <w:jc w:val="center"/>
            </w:pPr>
            <w:r>
              <w:t>0</w:t>
            </w:r>
          </w:p>
        </w:tc>
        <w:tc>
          <w:tcPr>
            <w:tcW w:w="2727" w:type="dxa"/>
          </w:tcPr>
          <w:p w:rsidR="00F26BFB" w:rsidRDefault="00630C2E" w:rsidP="00EA18CA">
            <w:pPr>
              <w:pStyle w:val="Default"/>
              <w:jc w:val="center"/>
            </w:pPr>
            <w:r>
              <w:t>0</w:t>
            </w:r>
          </w:p>
        </w:tc>
      </w:tr>
      <w:tr w:rsidR="00F26BFB" w:rsidTr="00EA18CA">
        <w:tc>
          <w:tcPr>
            <w:tcW w:w="2726" w:type="dxa"/>
          </w:tcPr>
          <w:p w:rsidR="00F26BFB" w:rsidRDefault="00F26BFB" w:rsidP="00EA18CA">
            <w:pPr>
              <w:pStyle w:val="Default"/>
              <w:jc w:val="center"/>
            </w:pPr>
            <w:r>
              <w:t>2020</w:t>
            </w:r>
          </w:p>
        </w:tc>
        <w:tc>
          <w:tcPr>
            <w:tcW w:w="2726" w:type="dxa"/>
          </w:tcPr>
          <w:p w:rsidR="00F26BFB" w:rsidRDefault="00CB2D72" w:rsidP="00EA18CA">
            <w:pPr>
              <w:pStyle w:val="Default"/>
              <w:jc w:val="center"/>
            </w:pPr>
            <w:r>
              <w:t>0</w:t>
            </w:r>
          </w:p>
        </w:tc>
        <w:tc>
          <w:tcPr>
            <w:tcW w:w="2726" w:type="dxa"/>
          </w:tcPr>
          <w:p w:rsidR="00F26BFB" w:rsidRDefault="00CB2D72" w:rsidP="00EA18CA">
            <w:pPr>
              <w:pStyle w:val="Default"/>
              <w:jc w:val="center"/>
            </w:pPr>
            <w:r>
              <w:t>0</w:t>
            </w:r>
          </w:p>
        </w:tc>
        <w:tc>
          <w:tcPr>
            <w:tcW w:w="2727" w:type="dxa"/>
          </w:tcPr>
          <w:p w:rsidR="00F26BFB" w:rsidRDefault="00CB2D72" w:rsidP="00EA18CA">
            <w:pPr>
              <w:pStyle w:val="Default"/>
              <w:jc w:val="center"/>
            </w:pPr>
            <w:r>
              <w:t>0</w:t>
            </w:r>
          </w:p>
        </w:tc>
      </w:tr>
      <w:tr w:rsidR="00F26BFB" w:rsidTr="00EA18CA">
        <w:tc>
          <w:tcPr>
            <w:tcW w:w="2726" w:type="dxa"/>
          </w:tcPr>
          <w:p w:rsidR="00F26BFB" w:rsidRDefault="00F26BFB" w:rsidP="00EA18CA">
            <w:pPr>
              <w:pStyle w:val="Default"/>
              <w:jc w:val="center"/>
            </w:pPr>
            <w:r>
              <w:t>2021</w:t>
            </w:r>
          </w:p>
        </w:tc>
        <w:tc>
          <w:tcPr>
            <w:tcW w:w="2726" w:type="dxa"/>
          </w:tcPr>
          <w:p w:rsidR="00F26BFB" w:rsidRDefault="00CB2D72" w:rsidP="00EA18CA">
            <w:pPr>
              <w:pStyle w:val="Default"/>
              <w:jc w:val="center"/>
            </w:pPr>
            <w:r>
              <w:t>36 (профильная)</w:t>
            </w:r>
          </w:p>
        </w:tc>
        <w:tc>
          <w:tcPr>
            <w:tcW w:w="2726" w:type="dxa"/>
          </w:tcPr>
          <w:p w:rsidR="00F26BFB" w:rsidRDefault="00CB2D72" w:rsidP="00EA18CA">
            <w:pPr>
              <w:pStyle w:val="Default"/>
              <w:jc w:val="center"/>
            </w:pPr>
            <w:r>
              <w:t>0</w:t>
            </w:r>
          </w:p>
        </w:tc>
        <w:tc>
          <w:tcPr>
            <w:tcW w:w="2727" w:type="dxa"/>
          </w:tcPr>
          <w:p w:rsidR="00F26BFB" w:rsidRDefault="00CB2D72" w:rsidP="00EA18CA">
            <w:pPr>
              <w:pStyle w:val="Default"/>
              <w:jc w:val="center"/>
            </w:pPr>
            <w:r>
              <w:t>0</w:t>
            </w:r>
          </w:p>
        </w:tc>
      </w:tr>
    </w:tbl>
    <w:p w:rsidR="00F26BFB" w:rsidRDefault="00F26BFB" w:rsidP="00F26BFB">
      <w:pPr>
        <w:pStyle w:val="Default"/>
        <w:jc w:val="center"/>
      </w:pPr>
    </w:p>
    <w:p w:rsidR="00F26BFB" w:rsidRDefault="00CB2D72" w:rsidP="00F26BFB">
      <w:pPr>
        <w:pStyle w:val="Default"/>
        <w:jc w:val="center"/>
      </w:pPr>
      <w:bookmarkStart w:id="0" w:name="_GoBack"/>
      <w:r>
        <w:t>Сравнительные результаты Е</w:t>
      </w:r>
      <w:r w:rsidR="00F26BFB">
        <w:t xml:space="preserve">ГЭ по русскому языку в </w:t>
      </w:r>
      <w:r w:rsidR="00F26BFB">
        <w:t>11</w:t>
      </w:r>
      <w:r w:rsidR="00F26BFB">
        <w:t xml:space="preserve"> классе</w:t>
      </w:r>
    </w:p>
    <w:bookmarkEnd w:id="0"/>
    <w:p w:rsidR="00F26BFB" w:rsidRDefault="00F26BFB" w:rsidP="00F26BFB">
      <w:pPr>
        <w:pStyle w:val="Default"/>
        <w:jc w:val="center"/>
      </w:pPr>
    </w:p>
    <w:tbl>
      <w:tblPr>
        <w:tblStyle w:val="a3"/>
        <w:tblW w:w="0" w:type="auto"/>
        <w:tblLook w:val="04A0" w:firstRow="1" w:lastRow="0" w:firstColumn="1" w:lastColumn="0" w:noHBand="0" w:noVBand="1"/>
      </w:tblPr>
      <w:tblGrid>
        <w:gridCol w:w="2726"/>
        <w:gridCol w:w="2726"/>
        <w:gridCol w:w="2726"/>
        <w:gridCol w:w="2727"/>
      </w:tblGrid>
      <w:tr w:rsidR="00F26BFB" w:rsidTr="00F26BFB">
        <w:tc>
          <w:tcPr>
            <w:tcW w:w="2726" w:type="dxa"/>
            <w:vAlign w:val="center"/>
          </w:tcPr>
          <w:p w:rsidR="00F26BFB" w:rsidRDefault="00F26BFB" w:rsidP="00F26BFB">
            <w:pPr>
              <w:pStyle w:val="Default"/>
              <w:jc w:val="center"/>
            </w:pPr>
            <w:r>
              <w:t>год</w:t>
            </w:r>
          </w:p>
        </w:tc>
        <w:tc>
          <w:tcPr>
            <w:tcW w:w="2726" w:type="dxa"/>
            <w:vAlign w:val="center"/>
          </w:tcPr>
          <w:p w:rsidR="00F26BFB" w:rsidRDefault="00F26BFB" w:rsidP="00F26BFB">
            <w:pPr>
              <w:pStyle w:val="Default"/>
              <w:jc w:val="center"/>
            </w:pPr>
            <w:r>
              <w:t>Средний балл</w:t>
            </w:r>
          </w:p>
        </w:tc>
        <w:tc>
          <w:tcPr>
            <w:tcW w:w="2726" w:type="dxa"/>
            <w:vAlign w:val="center"/>
          </w:tcPr>
          <w:p w:rsidR="00F26BFB" w:rsidRDefault="00F26BFB" w:rsidP="00F26BFB">
            <w:pPr>
              <w:pStyle w:val="Default"/>
              <w:jc w:val="center"/>
            </w:pPr>
            <w:r>
              <w:t>доля учащихся с неудовлетворительным результатом,%</w:t>
            </w:r>
          </w:p>
        </w:tc>
        <w:tc>
          <w:tcPr>
            <w:tcW w:w="2727" w:type="dxa"/>
            <w:vAlign w:val="center"/>
          </w:tcPr>
          <w:p w:rsidR="00F26BFB" w:rsidRDefault="00F26BFB" w:rsidP="00F26BFB">
            <w:pPr>
              <w:pStyle w:val="Default"/>
              <w:jc w:val="center"/>
            </w:pPr>
            <w:r>
              <w:t>доля учащихся с неудовлетворительным результатом после пересдачи, %</w:t>
            </w:r>
          </w:p>
        </w:tc>
      </w:tr>
      <w:tr w:rsidR="00F26BFB" w:rsidTr="00EA18CA">
        <w:tc>
          <w:tcPr>
            <w:tcW w:w="2726" w:type="dxa"/>
          </w:tcPr>
          <w:p w:rsidR="00F26BFB" w:rsidRDefault="00F26BFB" w:rsidP="00EA18CA">
            <w:pPr>
              <w:pStyle w:val="Default"/>
              <w:jc w:val="center"/>
            </w:pPr>
            <w:r>
              <w:t>2019</w:t>
            </w:r>
          </w:p>
        </w:tc>
        <w:tc>
          <w:tcPr>
            <w:tcW w:w="2726" w:type="dxa"/>
          </w:tcPr>
          <w:p w:rsidR="00F26BFB" w:rsidRDefault="00CB2D72" w:rsidP="00EA18CA">
            <w:pPr>
              <w:pStyle w:val="Default"/>
              <w:jc w:val="center"/>
            </w:pPr>
            <w:r>
              <w:t>85</w:t>
            </w:r>
          </w:p>
        </w:tc>
        <w:tc>
          <w:tcPr>
            <w:tcW w:w="2726" w:type="dxa"/>
          </w:tcPr>
          <w:p w:rsidR="00F26BFB" w:rsidRDefault="00CB2D72" w:rsidP="00EA18CA">
            <w:pPr>
              <w:pStyle w:val="Default"/>
              <w:jc w:val="center"/>
            </w:pPr>
            <w:r>
              <w:t>0</w:t>
            </w:r>
          </w:p>
        </w:tc>
        <w:tc>
          <w:tcPr>
            <w:tcW w:w="2727" w:type="dxa"/>
          </w:tcPr>
          <w:p w:rsidR="00F26BFB" w:rsidRDefault="00CB2D72" w:rsidP="00EA18CA">
            <w:pPr>
              <w:pStyle w:val="Default"/>
              <w:jc w:val="center"/>
            </w:pPr>
            <w:r>
              <w:t>0</w:t>
            </w:r>
          </w:p>
        </w:tc>
      </w:tr>
      <w:tr w:rsidR="00F26BFB" w:rsidTr="00EA18CA">
        <w:tc>
          <w:tcPr>
            <w:tcW w:w="2726" w:type="dxa"/>
          </w:tcPr>
          <w:p w:rsidR="00F26BFB" w:rsidRDefault="00F26BFB" w:rsidP="00EA18CA">
            <w:pPr>
              <w:pStyle w:val="Default"/>
              <w:jc w:val="center"/>
            </w:pPr>
            <w:r>
              <w:t>2020</w:t>
            </w:r>
          </w:p>
        </w:tc>
        <w:tc>
          <w:tcPr>
            <w:tcW w:w="2726" w:type="dxa"/>
          </w:tcPr>
          <w:p w:rsidR="00F26BFB" w:rsidRDefault="00CB2D72" w:rsidP="00EA18CA">
            <w:pPr>
              <w:pStyle w:val="Default"/>
              <w:jc w:val="center"/>
            </w:pPr>
            <w:r>
              <w:t>50,5</w:t>
            </w:r>
          </w:p>
        </w:tc>
        <w:tc>
          <w:tcPr>
            <w:tcW w:w="2726" w:type="dxa"/>
          </w:tcPr>
          <w:p w:rsidR="00F26BFB" w:rsidRDefault="00CB2D72" w:rsidP="00EA18CA">
            <w:pPr>
              <w:pStyle w:val="Default"/>
              <w:jc w:val="center"/>
            </w:pPr>
            <w:r>
              <w:t>0</w:t>
            </w:r>
          </w:p>
        </w:tc>
        <w:tc>
          <w:tcPr>
            <w:tcW w:w="2727" w:type="dxa"/>
          </w:tcPr>
          <w:p w:rsidR="00F26BFB" w:rsidRDefault="00CB2D72" w:rsidP="00EA18CA">
            <w:pPr>
              <w:pStyle w:val="Default"/>
              <w:jc w:val="center"/>
            </w:pPr>
            <w:r>
              <w:t>0</w:t>
            </w:r>
          </w:p>
        </w:tc>
      </w:tr>
      <w:tr w:rsidR="00F26BFB" w:rsidTr="00EA18CA">
        <w:tc>
          <w:tcPr>
            <w:tcW w:w="2726" w:type="dxa"/>
          </w:tcPr>
          <w:p w:rsidR="00F26BFB" w:rsidRDefault="00F26BFB" w:rsidP="00EA18CA">
            <w:pPr>
              <w:pStyle w:val="Default"/>
              <w:jc w:val="center"/>
            </w:pPr>
            <w:r>
              <w:t>2021</w:t>
            </w:r>
          </w:p>
        </w:tc>
        <w:tc>
          <w:tcPr>
            <w:tcW w:w="2726" w:type="dxa"/>
          </w:tcPr>
          <w:p w:rsidR="00F26BFB" w:rsidRDefault="00CB2D72" w:rsidP="00EA18CA">
            <w:pPr>
              <w:pStyle w:val="Default"/>
              <w:jc w:val="center"/>
            </w:pPr>
            <w:r>
              <w:t>59</w:t>
            </w:r>
          </w:p>
        </w:tc>
        <w:tc>
          <w:tcPr>
            <w:tcW w:w="2726" w:type="dxa"/>
          </w:tcPr>
          <w:p w:rsidR="00F26BFB" w:rsidRDefault="00CB2D72" w:rsidP="00EA18CA">
            <w:pPr>
              <w:pStyle w:val="Default"/>
              <w:jc w:val="center"/>
            </w:pPr>
            <w:r>
              <w:t>0</w:t>
            </w:r>
          </w:p>
        </w:tc>
        <w:tc>
          <w:tcPr>
            <w:tcW w:w="2727" w:type="dxa"/>
          </w:tcPr>
          <w:p w:rsidR="00F26BFB" w:rsidRDefault="00CB2D72" w:rsidP="00EA18CA">
            <w:pPr>
              <w:pStyle w:val="Default"/>
              <w:jc w:val="center"/>
            </w:pPr>
            <w:r>
              <w:t>0</w:t>
            </w:r>
          </w:p>
        </w:tc>
      </w:tr>
    </w:tbl>
    <w:p w:rsidR="00ED7E63" w:rsidRDefault="00ED7E63" w:rsidP="00062B84">
      <w:pPr>
        <w:pStyle w:val="Default"/>
        <w:jc w:val="both"/>
      </w:pPr>
    </w:p>
    <w:p w:rsidR="00ED7E63" w:rsidRPr="00062B84" w:rsidRDefault="00ED7E63" w:rsidP="00062B84">
      <w:pPr>
        <w:pStyle w:val="Default"/>
        <w:jc w:val="both"/>
      </w:pPr>
    </w:p>
    <w:p w:rsidR="00062B84" w:rsidRPr="00062B84" w:rsidRDefault="00062B84" w:rsidP="00062B84">
      <w:pPr>
        <w:shd w:val="clear" w:color="auto" w:fill="FFFFFF"/>
        <w:spacing w:after="22" w:line="240" w:lineRule="auto"/>
        <w:jc w:val="both"/>
        <w:rPr>
          <w:rFonts w:ascii="Times New Roman" w:eastAsia="Times New Roman" w:hAnsi="Times New Roman" w:cs="Times New Roman"/>
          <w:color w:val="000000"/>
          <w:sz w:val="24"/>
          <w:szCs w:val="24"/>
          <w:lang w:eastAsia="ru-RU"/>
        </w:rPr>
      </w:pPr>
      <w:r w:rsidRPr="00062B84">
        <w:rPr>
          <w:rFonts w:ascii="Times New Roman" w:hAnsi="Times New Roman" w:cs="Times New Roman"/>
          <w:sz w:val="24"/>
          <w:szCs w:val="24"/>
        </w:rPr>
        <w:t xml:space="preserve"> </w:t>
      </w:r>
      <w:r w:rsidRPr="00062B84">
        <w:rPr>
          <w:rFonts w:ascii="Times New Roman" w:hAnsi="Times New Roman" w:cs="Times New Roman"/>
          <w:b/>
          <w:bCs/>
          <w:sz w:val="24"/>
          <w:szCs w:val="24"/>
        </w:rPr>
        <w:t xml:space="preserve">Заключение. </w:t>
      </w:r>
      <w:r w:rsidRPr="00062B84">
        <w:rPr>
          <w:rFonts w:ascii="Times New Roman" w:hAnsi="Times New Roman" w:cs="Times New Roman"/>
          <w:sz w:val="24"/>
          <w:szCs w:val="24"/>
        </w:rPr>
        <w:t>В 2021-2022 году работа по повышению качества образования согласно плану работы в рамках инновационного проекта и программы будет продолжена и направлена на повышение качества результатов итоговой аттестации (ВПР, ГИА, ЕГЭ), также будет продолжена работа по повышению мотивации учащихся к обучению в соответствии с дорожной картой. На данном этапе внесены изменения в индивидуальные планы развития педагогов на следующий учебный год.</w:t>
      </w:r>
    </w:p>
    <w:p w:rsidR="00C757D3" w:rsidRPr="00062B84" w:rsidRDefault="00C757D3" w:rsidP="00062B84">
      <w:pPr>
        <w:jc w:val="both"/>
        <w:rPr>
          <w:rFonts w:ascii="Times New Roman" w:hAnsi="Times New Roman" w:cs="Times New Roman"/>
          <w:sz w:val="24"/>
          <w:szCs w:val="24"/>
        </w:rPr>
      </w:pPr>
    </w:p>
    <w:p w:rsidR="00C757D3" w:rsidRDefault="00C757D3"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Default="00B00994" w:rsidP="00062B84">
      <w:pPr>
        <w:shd w:val="clear" w:color="auto" w:fill="FFFFFF"/>
        <w:spacing w:after="22" w:line="240" w:lineRule="auto"/>
        <w:jc w:val="both"/>
        <w:rPr>
          <w:rFonts w:ascii="Times New Roman" w:hAnsi="Times New Roman" w:cs="Times New Roman"/>
          <w:sz w:val="24"/>
          <w:szCs w:val="24"/>
        </w:rPr>
      </w:pPr>
    </w:p>
    <w:p w:rsidR="00B00994" w:rsidRPr="00062B84" w:rsidRDefault="00B00994" w:rsidP="00062B84">
      <w:pPr>
        <w:shd w:val="clear" w:color="auto" w:fill="FFFFFF"/>
        <w:spacing w:after="22" w:line="240" w:lineRule="auto"/>
        <w:jc w:val="both"/>
        <w:rPr>
          <w:rFonts w:ascii="Times New Roman" w:hAnsi="Times New Roman" w:cs="Times New Roman"/>
          <w:sz w:val="24"/>
          <w:szCs w:val="24"/>
        </w:rPr>
      </w:pPr>
    </w:p>
    <w:sectPr w:rsidR="00B00994" w:rsidRPr="00062B84" w:rsidSect="00BD45E6">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EC"/>
    <w:rsid w:val="00062B84"/>
    <w:rsid w:val="00083034"/>
    <w:rsid w:val="003174EC"/>
    <w:rsid w:val="003A4F60"/>
    <w:rsid w:val="0043490D"/>
    <w:rsid w:val="00586395"/>
    <w:rsid w:val="005E2163"/>
    <w:rsid w:val="00600C73"/>
    <w:rsid w:val="00630C2E"/>
    <w:rsid w:val="00675B29"/>
    <w:rsid w:val="007C5675"/>
    <w:rsid w:val="0082476B"/>
    <w:rsid w:val="00AB6824"/>
    <w:rsid w:val="00B00994"/>
    <w:rsid w:val="00BD45E6"/>
    <w:rsid w:val="00C0492B"/>
    <w:rsid w:val="00C757D3"/>
    <w:rsid w:val="00CB2D72"/>
    <w:rsid w:val="00ED7E63"/>
    <w:rsid w:val="00F26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BD4C"/>
  <w15:chartTrackingRefBased/>
  <w15:docId w15:val="{89308184-D09F-43CF-A13C-5A20D5B1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74E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ED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453">
      <w:bodyDiv w:val="1"/>
      <w:marLeft w:val="0"/>
      <w:marRight w:val="0"/>
      <w:marTop w:val="0"/>
      <w:marBottom w:val="0"/>
      <w:divBdr>
        <w:top w:val="none" w:sz="0" w:space="0" w:color="auto"/>
        <w:left w:val="none" w:sz="0" w:space="0" w:color="auto"/>
        <w:bottom w:val="none" w:sz="0" w:space="0" w:color="auto"/>
        <w:right w:val="none" w:sz="0" w:space="0" w:color="auto"/>
      </w:divBdr>
    </w:div>
    <w:div w:id="20563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1748</Words>
  <Characters>9965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dc:creator>
  <cp:keywords/>
  <dc:description/>
  <cp:lastModifiedBy>724</cp:lastModifiedBy>
  <cp:revision>12</cp:revision>
  <dcterms:created xsi:type="dcterms:W3CDTF">2021-09-21T03:51:00Z</dcterms:created>
  <dcterms:modified xsi:type="dcterms:W3CDTF">2021-09-24T04:52:00Z</dcterms:modified>
</cp:coreProperties>
</file>